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0" w:line="240" w:lineRule="auto"/>
        <w:jc w:val="right"/>
        <w:rPr>
          <w:rStyle w:val="Hiperhivatkozs"/>
          <w:rFonts w:ascii="Arial" w:hAnsi="Arial" w:cs="Arial"/>
          <w:sz w:val="20"/>
          <w:szCs w:val="20"/>
        </w:rPr>
      </w:pPr>
      <w:bookmarkStart w:id="0" w:name="nyilal1"/>
      <w:r>
        <w:rPr>
          <w:rStyle w:val="Hiperhivatkozs"/>
          <w:rFonts w:ascii="Arial" w:hAnsi="Arial" w:cs="Arial"/>
          <w:sz w:val="20"/>
          <w:szCs w:val="20"/>
        </w:rPr>
        <w:t>TOP_Plusz-3.1.1-21-FE1-2022-00001</w:t>
      </w:r>
    </w:p>
    <w:p>
      <w:pPr>
        <w:suppressAutoHyphens w:val="0"/>
        <w:spacing w:after="0" w:line="240" w:lineRule="auto"/>
        <w:jc w:val="center"/>
        <w:rPr>
          <w:rFonts w:ascii="Arial" w:eastAsia="Times New Roman" w:hAnsi="Arial" w:cs="Arial"/>
          <w:b/>
          <w:sz w:val="24"/>
          <w:szCs w:val="24"/>
          <w:lang w:eastAsia="hu-HU"/>
        </w:rPr>
      </w:pPr>
      <w:bookmarkStart w:id="1" w:name="tájadatkez"/>
      <w:bookmarkEnd w:id="0"/>
      <w:r>
        <w:rPr>
          <w:rFonts w:ascii="Arial" w:eastAsia="Times New Roman" w:hAnsi="Arial" w:cs="Arial"/>
          <w:b/>
          <w:sz w:val="24"/>
          <w:szCs w:val="24"/>
          <w:lang w:eastAsia="hu-HU"/>
        </w:rPr>
        <w:t>Adatkezelési Tájékoztató</w:t>
      </w:r>
      <w:bookmarkEnd w:id="1"/>
      <w:r>
        <w:rPr>
          <w:rFonts w:ascii="Arial" w:eastAsia="Times New Roman" w:hAnsi="Arial" w:cs="Arial"/>
          <w:b/>
          <w:sz w:val="24"/>
          <w:szCs w:val="24"/>
          <w:lang w:eastAsia="hu-HU"/>
        </w:rPr>
        <w:t xml:space="preserve"> </w:t>
      </w:r>
      <w:r>
        <w:rPr>
          <w:rStyle w:val="Lbjegyzet-hivatkozs"/>
          <w:rFonts w:ascii="Arial" w:eastAsia="Times New Roman" w:hAnsi="Arial" w:cs="Arial"/>
          <w:b/>
          <w:sz w:val="24"/>
          <w:szCs w:val="24"/>
          <w:lang w:eastAsia="hu-HU"/>
        </w:rPr>
        <w:footnoteReference w:id="1"/>
      </w:r>
    </w:p>
    <w:p>
      <w:pPr>
        <w:suppressAutoHyphens w:val="0"/>
        <w:spacing w:after="0" w:line="240" w:lineRule="auto"/>
        <w:jc w:val="center"/>
        <w:rPr>
          <w:rFonts w:ascii="Arial" w:eastAsia="Times New Roman" w:hAnsi="Arial" w:cs="Arial"/>
          <w:b/>
          <w:sz w:val="24"/>
          <w:szCs w:val="24"/>
          <w:lang w:eastAsia="hu-HU"/>
        </w:rPr>
      </w:pPr>
      <w:r>
        <w:rPr>
          <w:rFonts w:ascii="Arial" w:eastAsia="Times New Roman" w:hAnsi="Arial" w:cs="Arial"/>
          <w:b/>
          <w:sz w:val="24"/>
          <w:szCs w:val="24"/>
          <w:lang w:eastAsia="hu-HU"/>
        </w:rPr>
        <w:t>az Európai Szociális Alap/Európai Szociális Alap Plusz</w:t>
      </w:r>
    </w:p>
    <w:p>
      <w:pPr>
        <w:suppressAutoHyphens w:val="0"/>
        <w:spacing w:after="0" w:line="240" w:lineRule="auto"/>
        <w:jc w:val="center"/>
        <w:rPr>
          <w:rFonts w:ascii="Arial" w:eastAsia="Times New Roman" w:hAnsi="Arial" w:cs="Arial"/>
          <w:b/>
          <w:sz w:val="24"/>
          <w:szCs w:val="24"/>
          <w:lang w:eastAsia="hu-HU"/>
        </w:rPr>
      </w:pPr>
      <w:r>
        <w:rPr>
          <w:rFonts w:ascii="Arial" w:eastAsia="Times New Roman" w:hAnsi="Arial" w:cs="Arial"/>
          <w:b/>
          <w:sz w:val="24"/>
          <w:szCs w:val="24"/>
          <w:lang w:eastAsia="hu-HU"/>
        </w:rPr>
        <w:t xml:space="preserve"> által finanszírozott programok résztvevői számára </w:t>
      </w:r>
    </w:p>
    <w:p>
      <w:pPr>
        <w:suppressAutoHyphens w:val="0"/>
        <w:spacing w:after="0" w:line="240" w:lineRule="auto"/>
        <w:jc w:val="center"/>
        <w:rPr>
          <w:rFonts w:ascii="Arial" w:eastAsia="Times New Roman" w:hAnsi="Arial" w:cs="Arial"/>
          <w:b/>
          <w:sz w:val="24"/>
          <w:szCs w:val="24"/>
          <w:lang w:eastAsia="hu-HU"/>
        </w:rPr>
      </w:pPr>
      <w:r>
        <w:rPr>
          <w:rFonts w:ascii="Arial" w:eastAsia="Times New Roman" w:hAnsi="Arial" w:cs="Arial"/>
          <w:b/>
          <w:sz w:val="24"/>
          <w:szCs w:val="24"/>
          <w:lang w:eastAsia="hu-HU"/>
        </w:rPr>
        <w:t>az állami foglalkoztatási szerv adatkezeléséről</w:t>
      </w:r>
    </w:p>
    <w:p>
      <w:pPr>
        <w:suppressAutoHyphens w:val="0"/>
        <w:spacing w:after="0" w:line="240" w:lineRule="auto"/>
        <w:rPr>
          <w:rFonts w:ascii="Arial" w:eastAsia="Times New Roman" w:hAnsi="Arial" w:cs="Arial"/>
          <w:sz w:val="24"/>
          <w:szCs w:val="24"/>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Amennyiben Ön az Európai Szociális Alap vagy Európai Szociális Alap Plusz (a továbbiakban: ESZA/ESZA+) által finanszírozott intézkedésben (programban) vesz/vett részt, az alábbiakban részletesen tájékozódhat arról, hogy a programmal kapcsolatosan kitölteni kért kérdőív(ek)ben adott válaszait ki, milyen célból ismerheti meg, mennyi ideig kezelheti. A személyes adataival kapcsolatos jogairól is részletes tájékoztatást kaphat az alábbiakban.</w:t>
      </w:r>
    </w:p>
    <w:p>
      <w:pPr>
        <w:suppressAutoHyphens w:val="0"/>
        <w:spacing w:after="0" w:line="240" w:lineRule="auto"/>
        <w:rPr>
          <w:rFonts w:ascii="Arial" w:eastAsia="Times New Roman" w:hAnsi="Arial" w:cs="Arial"/>
          <w:sz w:val="20"/>
          <w:szCs w:val="20"/>
          <w:lang w:eastAsia="hu-HU"/>
        </w:rPr>
      </w:pPr>
    </w:p>
    <w:p>
      <w:pPr>
        <w:numPr>
          <w:ilvl w:val="0"/>
          <w:numId w:val="9"/>
        </w:numPr>
        <w:suppressAutoHyphens w:val="0"/>
        <w:spacing w:after="0" w:line="240" w:lineRule="auto"/>
        <w:ind w:left="284" w:hanging="284"/>
        <w:outlineLvl w:val="0"/>
        <w:rPr>
          <w:rFonts w:ascii="Arial" w:eastAsia="Times New Roman" w:hAnsi="Arial" w:cs="Arial"/>
          <w:b/>
          <w:sz w:val="20"/>
          <w:szCs w:val="20"/>
          <w:lang w:eastAsia="hu-HU"/>
        </w:rPr>
      </w:pPr>
      <w:r>
        <w:rPr>
          <w:rFonts w:ascii="Arial" w:eastAsia="Times New Roman" w:hAnsi="Arial" w:cs="Arial"/>
          <w:b/>
          <w:sz w:val="20"/>
          <w:szCs w:val="20"/>
          <w:lang w:eastAsia="hu-HU"/>
        </w:rPr>
        <w:t>Fogalmak</w:t>
      </w:r>
    </w:p>
    <w:p>
      <w:pPr>
        <w:suppressAutoHyphens w:val="0"/>
        <w:autoSpaceDE w:val="0"/>
        <w:autoSpaceDN w:val="0"/>
        <w:adjustRightInd w:val="0"/>
        <w:spacing w:after="0" w:line="240" w:lineRule="auto"/>
        <w:jc w:val="both"/>
        <w:rPr>
          <w:rFonts w:ascii="Arial" w:eastAsia="Calibri" w:hAnsi="Arial" w:cs="Arial"/>
          <w:color w:val="000000"/>
          <w:sz w:val="20"/>
          <w:szCs w:val="20"/>
        </w:rPr>
      </w:pPr>
      <w:r>
        <w:rPr>
          <w:rFonts w:ascii="Arial" w:eastAsia="Calibri" w:hAnsi="Arial" w:cs="Arial"/>
          <w:b/>
          <w:bCs/>
          <w:color w:val="000000"/>
          <w:sz w:val="20"/>
          <w:szCs w:val="20"/>
        </w:rPr>
        <w:t>1.1. „Adatfeldolgozó”</w:t>
      </w:r>
      <w:r>
        <w:rPr>
          <w:rFonts w:ascii="Arial" w:eastAsia="Calibri" w:hAnsi="Arial" w:cs="Arial"/>
          <w:color w:val="000000"/>
          <w:sz w:val="20"/>
          <w:szCs w:val="20"/>
        </w:rPr>
        <w:t xml:space="preserve">: az a természetes vagy jogi személy, közhatalmi szerv, ügynökség vagy bármely egyéb szerv, amely az adatkezelő nevében személyes adatokat kezel. </w:t>
      </w:r>
    </w:p>
    <w:p>
      <w:pPr>
        <w:suppressAutoHyphens w:val="0"/>
        <w:autoSpaceDE w:val="0"/>
        <w:autoSpaceDN w:val="0"/>
        <w:adjustRightInd w:val="0"/>
        <w:spacing w:after="0" w:line="240" w:lineRule="auto"/>
        <w:jc w:val="both"/>
        <w:rPr>
          <w:rFonts w:ascii="Arial" w:eastAsia="Calibri" w:hAnsi="Arial" w:cs="Arial"/>
          <w:color w:val="000000"/>
          <w:sz w:val="20"/>
          <w:szCs w:val="20"/>
        </w:rPr>
      </w:pPr>
      <w:r>
        <w:rPr>
          <w:rFonts w:ascii="Arial" w:eastAsia="Calibri" w:hAnsi="Arial" w:cs="Arial"/>
          <w:b/>
          <w:bCs/>
          <w:color w:val="000000"/>
          <w:sz w:val="20"/>
          <w:szCs w:val="20"/>
        </w:rPr>
        <w:t xml:space="preserve">1.2. „Adatkezelés”: </w:t>
      </w:r>
      <w:r>
        <w:rPr>
          <w:rFonts w:ascii="Arial" w:eastAsia="Calibri" w:hAnsi="Arial" w:cs="Arial"/>
          <w:color w:val="000000"/>
          <w:sz w:val="20"/>
          <w:szCs w:val="20"/>
        </w:rPr>
        <w:t xml:space="preserve">a személyes adatokon vagy adatállományokon automatizált vagy nem automatizált módon végzett bármely művelet vagy műveletek összessége, így a gyűjtés, rögzítés, rendszerezés, tagolás, tárolás, átalakítás vagy megváltoztatás, lekérdezés, betekintés, felhasználás, közlés, továbbítás, terjesztés vagy egyéb módon történő hozzáférhetővé tétel útján, összehangolás vagy összekapcsolás, korlátozás, törlés, illetve megsemmisítés. </w:t>
      </w:r>
    </w:p>
    <w:p>
      <w:pPr>
        <w:suppressAutoHyphens w:val="0"/>
        <w:autoSpaceDE w:val="0"/>
        <w:autoSpaceDN w:val="0"/>
        <w:adjustRightInd w:val="0"/>
        <w:spacing w:after="0" w:line="240" w:lineRule="auto"/>
        <w:jc w:val="both"/>
        <w:rPr>
          <w:rFonts w:ascii="Arial" w:eastAsia="Calibri" w:hAnsi="Arial" w:cs="Arial"/>
          <w:color w:val="000000"/>
          <w:sz w:val="20"/>
          <w:szCs w:val="20"/>
        </w:rPr>
      </w:pPr>
      <w:r>
        <w:rPr>
          <w:rFonts w:ascii="Arial" w:eastAsia="Calibri" w:hAnsi="Arial" w:cs="Arial"/>
          <w:b/>
          <w:bCs/>
          <w:color w:val="000000"/>
          <w:sz w:val="20"/>
          <w:szCs w:val="20"/>
        </w:rPr>
        <w:t xml:space="preserve">1.3. „Adatkezelő”: </w:t>
      </w:r>
      <w:r>
        <w:rPr>
          <w:rFonts w:ascii="Arial" w:eastAsia="Calibri" w:hAnsi="Arial" w:cs="Arial"/>
          <w:color w:val="000000"/>
          <w:sz w:val="20"/>
          <w:szCs w:val="20"/>
        </w:rPr>
        <w:t xml:space="preserve">az a természetes vagy jogi személy, közhatalmi szerv, ügynökség vagy bármely egyéb szerv, amely a személyes adatok kezelésének céljait és eszközeit önállóan vagy másokkal együtt meghatározza; ha az adatkezelés céljait és eszközeit az uniós vagy a tagállami jog határozza meg, az adatkezelőt vagy az adatkezelő kijelölésére vonatkozó különös szempontokat az uniós vagy a tagállami jog is meghatározhatja. </w:t>
      </w:r>
    </w:p>
    <w:p>
      <w:pPr>
        <w:suppressAutoHyphens w:val="0"/>
        <w:autoSpaceDE w:val="0"/>
        <w:autoSpaceDN w:val="0"/>
        <w:adjustRightInd w:val="0"/>
        <w:spacing w:after="0" w:line="240" w:lineRule="auto"/>
        <w:jc w:val="both"/>
        <w:rPr>
          <w:rFonts w:ascii="Arial" w:eastAsia="Calibri" w:hAnsi="Arial" w:cs="Arial"/>
          <w:color w:val="000000"/>
          <w:sz w:val="20"/>
          <w:szCs w:val="20"/>
        </w:rPr>
      </w:pPr>
      <w:r>
        <w:rPr>
          <w:rFonts w:ascii="Arial" w:eastAsia="Calibri" w:hAnsi="Arial" w:cs="Arial"/>
          <w:b/>
          <w:bCs/>
          <w:color w:val="000000"/>
          <w:sz w:val="20"/>
          <w:szCs w:val="20"/>
        </w:rPr>
        <w:t xml:space="preserve">1.4. “GDPR” </w:t>
      </w:r>
      <w:r>
        <w:rPr>
          <w:rFonts w:ascii="Arial" w:eastAsia="Calibri" w:hAnsi="Arial" w:cs="Arial"/>
          <w:color w:val="000000"/>
          <w:sz w:val="20"/>
          <w:szCs w:val="20"/>
        </w:rPr>
        <w:t xml:space="preserve">az EU 2016/679 számú Általános Adatvédelmi Rendelete. </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b/>
          <w:bCs/>
          <w:sz w:val="20"/>
          <w:szCs w:val="20"/>
          <w:lang w:eastAsia="hu-HU"/>
        </w:rPr>
        <w:t>1.5. „ESZA/ESZA+”:</w:t>
      </w:r>
      <w:r>
        <w:rPr>
          <w:rFonts w:ascii="Arial" w:eastAsia="Times New Roman" w:hAnsi="Arial" w:cs="Arial"/>
          <w:bCs/>
          <w:sz w:val="20"/>
          <w:szCs w:val="20"/>
          <w:lang w:eastAsia="hu-HU"/>
        </w:rPr>
        <w:t xml:space="preserve"> </w:t>
      </w:r>
      <w:r>
        <w:rPr>
          <w:rFonts w:ascii="Arial" w:eastAsia="Times New Roman" w:hAnsi="Arial" w:cs="Arial"/>
          <w:sz w:val="20"/>
          <w:szCs w:val="20"/>
          <w:lang w:eastAsia="hu-HU"/>
        </w:rPr>
        <w:t>Európai Szociális Alap, Európai Szociális Alap Plusz.</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1.6. „REACT-EU”:</w:t>
      </w:r>
      <w:r>
        <w:rPr>
          <w:rFonts w:ascii="Arial" w:eastAsia="Times New Roman" w:hAnsi="Arial" w:cs="Arial"/>
          <w:sz w:val="20"/>
          <w:szCs w:val="20"/>
          <w:lang w:eastAsia="hu-HU"/>
        </w:rPr>
        <w:t xml:space="preserve"> kiegészítő támogatás, melyet a COVID-19 világjárvány okozta válságot ellensúlyozó intézkedésekhez nyújt az Európai Unió.</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1.7. „Személyes adat”:</w:t>
      </w:r>
      <w:r>
        <w:rPr>
          <w:rFonts w:ascii="Arial" w:eastAsia="Times New Roman" w:hAnsi="Arial" w:cs="Arial"/>
          <w:sz w:val="20"/>
          <w:szCs w:val="20"/>
          <w:lang w:eastAsia="hu-HU"/>
        </w:rPr>
        <w:t xml:space="preserve"> azonosított vagy azonosítható természetes személyre („érintett”) vonatkozó bármely információ; azonosítható az a természetes személy, aki közvetlen vagy közvetett módon, különösen valamely azonosító, például név, szám, helymeghatározó adat, online azonosító vagy a természetes személy testi, fiziológiai, genetikai, szellemi, gazdasági, kulturális vagy szociális azonosságára vonatkozó egy vagy több tényező alapján azonosítható.</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 xml:space="preserve">1.8 „Állami foglalkoztatási szerv”: </w:t>
      </w:r>
      <w:r>
        <w:rPr>
          <w:rFonts w:ascii="Arial" w:eastAsia="Times New Roman" w:hAnsi="Arial" w:cs="Arial"/>
          <w:sz w:val="20"/>
          <w:szCs w:val="20"/>
          <w:lang w:eastAsia="hu-HU"/>
        </w:rPr>
        <w:t>A Kormány az állami foglalkoztatási szerv, a munkavédelmi és munkaügyi hatóság kijelöléséről, valamint e szervek hatósági és más feladatainak ellátásáról szóló 320/2014. (XII. 13.) Korm. rendelettel állami foglalkoztatási szervként a foglalkoztatáspolitikáért felelős minisztert (a továbbiakban: miniszter), a fővárosi és vármegyei kormányhivatalt (a továbbiakban: kormányhivatal), a fővárosi és vármegyei kormányhivatal járási (fővárosi kerületi) hivatalát (a továbbiakban: járási hivatal) jelöli ki.</w:t>
      </w:r>
    </w:p>
    <w:p>
      <w:pPr>
        <w:suppressAutoHyphens w:val="0"/>
        <w:spacing w:after="0" w:line="240" w:lineRule="auto"/>
        <w:rPr>
          <w:rFonts w:ascii="Arial" w:eastAsia="Times New Roman" w:hAnsi="Arial" w:cs="Arial"/>
          <w:sz w:val="20"/>
          <w:szCs w:val="20"/>
          <w:lang w:eastAsia="hu-HU"/>
        </w:rPr>
      </w:pPr>
    </w:p>
    <w:p>
      <w:pPr>
        <w:numPr>
          <w:ilvl w:val="0"/>
          <w:numId w:val="9"/>
        </w:numPr>
        <w:suppressAutoHyphens w:val="0"/>
        <w:spacing w:after="0" w:line="240" w:lineRule="auto"/>
        <w:ind w:left="284" w:hanging="284"/>
        <w:outlineLvl w:val="0"/>
        <w:rPr>
          <w:rFonts w:ascii="Arial" w:eastAsia="Times New Roman" w:hAnsi="Arial" w:cs="Arial"/>
          <w:b/>
          <w:sz w:val="20"/>
          <w:szCs w:val="20"/>
          <w:lang w:eastAsia="hu-HU"/>
        </w:rPr>
      </w:pPr>
      <w:r>
        <w:rPr>
          <w:rFonts w:ascii="Arial" w:eastAsia="Times New Roman" w:hAnsi="Arial" w:cs="Arial"/>
          <w:b/>
          <w:sz w:val="20"/>
          <w:szCs w:val="20"/>
          <w:lang w:eastAsia="hu-HU"/>
        </w:rPr>
        <w:t xml:space="preserve">Az adatkezelők neve, adatvédelmi tisztviselő elérhetősége: </w:t>
      </w:r>
    </w:p>
    <w:tbl>
      <w:tblPr>
        <w:tblStyle w:val="Rcsostblzat2"/>
        <w:tblW w:w="0" w:type="auto"/>
        <w:tblLook w:val="04A0" w:firstRow="1" w:lastRow="0" w:firstColumn="1" w:lastColumn="0" w:noHBand="0" w:noVBand="1"/>
      </w:tblPr>
      <w:tblGrid>
        <w:gridCol w:w="4253"/>
        <w:gridCol w:w="4809"/>
      </w:tblGrid>
      <w:tr>
        <w:tc>
          <w:tcPr>
            <w:tcW w:w="4253" w:type="dxa"/>
          </w:tcPr>
          <w:p>
            <w:pPr>
              <w:spacing w:after="0" w:line="240" w:lineRule="auto"/>
              <w:jc w:val="center"/>
              <w:rPr>
                <w:rFonts w:ascii="Arial" w:eastAsia="Times New Roman" w:hAnsi="Arial" w:cs="Arial"/>
                <w:b/>
                <w:lang w:eastAsia="hu-HU"/>
              </w:rPr>
            </w:pPr>
            <w:r>
              <w:rPr>
                <w:rFonts w:ascii="Arial" w:hAnsi="Arial" w:cs="Arial"/>
                <w:b/>
              </w:rPr>
              <w:t>Adatkezelő</w:t>
            </w:r>
          </w:p>
        </w:tc>
        <w:tc>
          <w:tcPr>
            <w:tcW w:w="4809" w:type="dxa"/>
          </w:tcPr>
          <w:p>
            <w:pPr>
              <w:spacing w:after="0" w:line="240" w:lineRule="auto"/>
              <w:jc w:val="center"/>
              <w:rPr>
                <w:rFonts w:ascii="Arial" w:eastAsia="Times New Roman" w:hAnsi="Arial" w:cs="Arial"/>
                <w:b/>
                <w:lang w:eastAsia="hu-HU"/>
              </w:rPr>
            </w:pPr>
            <w:r>
              <w:rPr>
                <w:rFonts w:ascii="Arial" w:hAnsi="Arial" w:cs="Arial"/>
                <w:b/>
              </w:rPr>
              <w:t>Adatvédelmi tisztviselő neve, elérhetősége</w:t>
            </w:r>
          </w:p>
        </w:tc>
      </w:tr>
      <w:tr>
        <w:tc>
          <w:tcPr>
            <w:tcW w:w="4253" w:type="dxa"/>
          </w:tcPr>
          <w:p>
            <w:pPr>
              <w:spacing w:after="0" w:line="240" w:lineRule="auto"/>
              <w:rPr>
                <w:rFonts w:ascii="Arial" w:eastAsia="Times New Roman" w:hAnsi="Arial" w:cs="Arial"/>
                <w:lang w:eastAsia="hu-HU"/>
              </w:rPr>
            </w:pPr>
            <w:r>
              <w:rPr>
                <w:rFonts w:ascii="Arial" w:hAnsi="Arial" w:cs="Arial"/>
              </w:rPr>
              <w:t>Nemzetgazdasági Minisztérium</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Sulai Márton</w:t>
            </w:r>
          </w:p>
          <w:p>
            <w:pPr>
              <w:pStyle w:val="Default"/>
              <w:spacing w:beforeAutospacing="0" w:afterAutospacing="0"/>
              <w:rPr>
                <w:rFonts w:ascii="Arial" w:hAnsi="Arial" w:cs="Arial"/>
                <w:sz w:val="20"/>
                <w:szCs w:val="20"/>
              </w:rPr>
            </w:pPr>
            <w:hyperlink r:id="rId8" w:history="1">
              <w:r>
                <w:rPr>
                  <w:rStyle w:val="Hiperhivatkozs"/>
                  <w:rFonts w:ascii="Arial" w:hAnsi="Arial" w:cs="Arial"/>
                  <w:sz w:val="20"/>
                  <w:szCs w:val="20"/>
                </w:rPr>
                <w:t>marton.sulai@ngm.gov.hu</w:t>
              </w:r>
            </w:hyperlink>
            <w:r>
              <w:rPr>
                <w:rFonts w:ascii="Arial" w:hAnsi="Arial" w:cs="Arial"/>
                <w:color w:val="auto"/>
                <w:sz w:val="20"/>
                <w:szCs w:val="20"/>
              </w:rPr>
              <w:t xml:space="preserve"> </w:t>
            </w:r>
          </w:p>
        </w:tc>
      </w:tr>
      <w:tr>
        <w:tc>
          <w:tcPr>
            <w:tcW w:w="4253" w:type="dxa"/>
          </w:tcPr>
          <w:p>
            <w:pPr>
              <w:spacing w:after="0" w:line="240" w:lineRule="auto"/>
              <w:rPr>
                <w:rFonts w:ascii="Arial" w:eastAsia="Times New Roman" w:hAnsi="Arial" w:cs="Arial"/>
                <w:lang w:eastAsia="hu-HU"/>
              </w:rPr>
            </w:pPr>
            <w:r>
              <w:rPr>
                <w:rFonts w:ascii="Arial" w:hAnsi="Arial" w:cs="Arial"/>
              </w:rPr>
              <w:t>Budapest Főváros Kormányhivatala</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 xml:space="preserve">dr. </w:t>
            </w:r>
            <w:r>
              <w:rPr>
                <w:rFonts w:ascii="Arial" w:hAnsi="Arial" w:cs="Arial"/>
                <w:sz w:val="20"/>
                <w:szCs w:val="20"/>
              </w:rPr>
              <w:t>Iván Roland</w:t>
            </w:r>
          </w:p>
          <w:p>
            <w:pPr>
              <w:spacing w:after="0" w:line="240" w:lineRule="auto"/>
              <w:rPr>
                <w:rFonts w:ascii="Arial" w:eastAsia="Times New Roman" w:hAnsi="Arial" w:cs="Arial"/>
                <w:lang w:eastAsia="hu-HU"/>
              </w:rPr>
            </w:pPr>
            <w:hyperlink r:id="rId9" w:history="1">
              <w:r>
                <w:rPr>
                  <w:rStyle w:val="Hiperhivatkozs"/>
                  <w:rFonts w:ascii="Arial" w:hAnsi="Arial" w:cs="Arial"/>
                </w:rPr>
                <w:t>adatvedelem@bfkh.gov.hu</w:t>
              </w:r>
            </w:hyperlink>
            <w:r>
              <w:rPr>
                <w:rFonts w:ascii="Arial" w:hAnsi="Arial" w:cs="Arial"/>
              </w:rPr>
              <w:t xml:space="preserve"> </w:t>
            </w:r>
          </w:p>
        </w:tc>
      </w:tr>
      <w:tr>
        <w:tc>
          <w:tcPr>
            <w:tcW w:w="4253" w:type="dxa"/>
          </w:tcPr>
          <w:p>
            <w:pPr>
              <w:spacing w:after="0" w:line="240" w:lineRule="auto"/>
              <w:rPr>
                <w:rFonts w:ascii="Arial" w:eastAsia="Times New Roman" w:hAnsi="Arial" w:cs="Arial"/>
                <w:lang w:eastAsia="hu-HU"/>
              </w:rPr>
            </w:pPr>
            <w:r>
              <w:rPr>
                <w:rFonts w:ascii="Arial" w:hAnsi="Arial" w:cs="Arial"/>
              </w:rPr>
              <w:t>Pest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Pércsi Éva</w:t>
            </w:r>
          </w:p>
          <w:p>
            <w:pPr>
              <w:spacing w:after="0" w:line="240" w:lineRule="auto"/>
              <w:rPr>
                <w:rFonts w:ascii="Arial" w:eastAsia="Times New Roman" w:hAnsi="Arial" w:cs="Arial"/>
                <w:lang w:eastAsia="hu-HU"/>
              </w:rPr>
            </w:pPr>
            <w:hyperlink r:id="rId10" w:history="1">
              <w:r>
                <w:rPr>
                  <w:rStyle w:val="Hiperhivatkozs"/>
                  <w:rFonts w:ascii="Arial" w:hAnsi="Arial" w:cs="Arial"/>
                </w:rPr>
                <w:t>adatvedelem@pest.gov.hu</w:t>
              </w:r>
            </w:hyperlink>
            <w:r>
              <w:rPr>
                <w:rFonts w:ascii="Arial" w:hAnsi="Arial" w:cs="Arial"/>
              </w:rPr>
              <w:t xml:space="preserve"> </w:t>
            </w:r>
          </w:p>
        </w:tc>
      </w:tr>
      <w:tr>
        <w:tc>
          <w:tcPr>
            <w:tcW w:w="4253" w:type="dxa"/>
          </w:tcPr>
          <w:p>
            <w:pPr>
              <w:spacing w:after="0" w:line="240" w:lineRule="auto"/>
              <w:rPr>
                <w:rFonts w:ascii="Arial" w:eastAsia="Times New Roman" w:hAnsi="Arial" w:cs="Arial"/>
                <w:lang w:eastAsia="hu-HU"/>
              </w:rPr>
            </w:pPr>
            <w:r>
              <w:rPr>
                <w:rFonts w:ascii="Arial" w:hAnsi="Arial" w:cs="Arial"/>
              </w:rPr>
              <w:t>Bács-Kiskun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Kovács Róbert</w:t>
            </w:r>
          </w:p>
          <w:p>
            <w:pPr>
              <w:spacing w:after="0" w:line="240" w:lineRule="auto"/>
              <w:rPr>
                <w:rFonts w:ascii="Arial" w:eastAsia="Times New Roman" w:hAnsi="Arial" w:cs="Arial"/>
                <w:lang w:eastAsia="hu-HU"/>
              </w:rPr>
            </w:pPr>
            <w:hyperlink r:id="rId11" w:history="1">
              <w:r>
                <w:rPr>
                  <w:rStyle w:val="Hiperhivatkozs"/>
                  <w:rFonts w:ascii="Arial" w:hAnsi="Arial" w:cs="Arial"/>
                </w:rPr>
                <w:t>adatvedelem@bacs.gov.hu</w:t>
              </w:r>
            </w:hyperlink>
            <w:r>
              <w:rPr>
                <w:rFonts w:ascii="Arial" w:eastAsia="Times New Roman" w:hAnsi="Arial" w:cs="Arial"/>
                <w:b/>
              </w:rPr>
              <w:t xml:space="preserve"> </w:t>
            </w:r>
          </w:p>
        </w:tc>
      </w:tr>
      <w:tr>
        <w:tc>
          <w:tcPr>
            <w:tcW w:w="4253" w:type="dxa"/>
          </w:tcPr>
          <w:p>
            <w:pPr>
              <w:spacing w:after="0" w:line="240" w:lineRule="auto"/>
              <w:rPr>
                <w:rFonts w:ascii="Arial" w:eastAsia="Times New Roman" w:hAnsi="Arial" w:cs="Arial"/>
                <w:lang w:eastAsia="hu-HU"/>
              </w:rPr>
            </w:pPr>
            <w:r>
              <w:rPr>
                <w:rFonts w:ascii="Arial" w:hAnsi="Arial" w:cs="Arial"/>
              </w:rPr>
              <w:t>Baranya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Jakab Réka</w:t>
            </w:r>
          </w:p>
          <w:p>
            <w:pPr>
              <w:spacing w:after="0" w:line="240" w:lineRule="auto"/>
              <w:rPr>
                <w:rFonts w:ascii="Arial" w:eastAsia="Times New Roman" w:hAnsi="Arial" w:cs="Arial"/>
                <w:lang w:eastAsia="hu-HU"/>
              </w:rPr>
            </w:pPr>
            <w:hyperlink r:id="rId12" w:history="1">
              <w:r>
                <w:rPr>
                  <w:rStyle w:val="Hiperhivatkozs"/>
                  <w:rFonts w:ascii="Arial" w:hAnsi="Arial" w:cs="Arial"/>
                </w:rPr>
                <w:t>jakab.reka@baranya.gov.hu</w:t>
              </w:r>
            </w:hyperlink>
          </w:p>
        </w:tc>
      </w:tr>
      <w:tr>
        <w:tc>
          <w:tcPr>
            <w:tcW w:w="4253" w:type="dxa"/>
          </w:tcPr>
          <w:p>
            <w:pPr>
              <w:spacing w:after="0" w:line="240" w:lineRule="auto"/>
              <w:rPr>
                <w:rFonts w:ascii="Arial" w:eastAsia="Times New Roman" w:hAnsi="Arial" w:cs="Arial"/>
                <w:lang w:eastAsia="hu-HU"/>
              </w:rPr>
            </w:pPr>
            <w:r>
              <w:rPr>
                <w:rFonts w:ascii="Arial" w:hAnsi="Arial" w:cs="Arial"/>
              </w:rPr>
              <w:lastRenderedPageBreak/>
              <w:t>Békés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sz w:val="20"/>
                <w:szCs w:val="20"/>
              </w:rPr>
              <w:t>dr. Gémes Nikolett</w:t>
            </w:r>
          </w:p>
          <w:p>
            <w:pPr>
              <w:spacing w:after="0" w:line="240" w:lineRule="auto"/>
              <w:rPr>
                <w:rFonts w:ascii="Arial" w:eastAsia="Times New Roman" w:hAnsi="Arial" w:cs="Arial"/>
                <w:lang w:eastAsia="hu-HU"/>
              </w:rPr>
            </w:pPr>
            <w:hyperlink r:id="rId13" w:history="1">
              <w:r>
                <w:rPr>
                  <w:rStyle w:val="Hiperhivatkozs"/>
                  <w:rFonts w:ascii="Arial" w:hAnsi="Arial" w:cs="Arial"/>
                </w:rPr>
                <w:t>gemes.nikolett@bekes.gov.hu</w:t>
              </w:r>
            </w:hyperlink>
          </w:p>
        </w:tc>
      </w:tr>
      <w:tr>
        <w:tc>
          <w:tcPr>
            <w:tcW w:w="4253" w:type="dxa"/>
          </w:tcPr>
          <w:p>
            <w:pPr>
              <w:spacing w:after="0" w:line="240" w:lineRule="auto"/>
              <w:rPr>
                <w:rFonts w:ascii="Arial" w:eastAsia="Times New Roman" w:hAnsi="Arial" w:cs="Arial"/>
                <w:lang w:eastAsia="hu-HU"/>
              </w:rPr>
            </w:pPr>
            <w:r>
              <w:rPr>
                <w:rFonts w:ascii="Arial" w:hAnsi="Arial" w:cs="Arial"/>
              </w:rPr>
              <w:t>Borsod-Abaúj-Zemplén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Madácsi Imre</w:t>
            </w:r>
          </w:p>
          <w:p>
            <w:pPr>
              <w:spacing w:after="0" w:line="240" w:lineRule="auto"/>
              <w:rPr>
                <w:rFonts w:ascii="Arial" w:eastAsia="Times New Roman" w:hAnsi="Arial" w:cs="Arial"/>
                <w:lang w:eastAsia="hu-HU"/>
              </w:rPr>
            </w:pPr>
            <w:hyperlink r:id="rId14" w:history="1">
              <w:r>
                <w:rPr>
                  <w:rStyle w:val="Hiperhivatkozs"/>
                  <w:rFonts w:ascii="Arial" w:hAnsi="Arial" w:cs="Arial"/>
                </w:rPr>
                <w:t>madacsi.imre@borsod.gov.hu</w:t>
              </w:r>
            </w:hyperlink>
            <w:r>
              <w:rPr>
                <w:rFonts w:ascii="Arial" w:hAnsi="Arial" w:cs="Arial"/>
              </w:rPr>
              <w:t xml:space="preserve"> </w:t>
            </w:r>
          </w:p>
        </w:tc>
      </w:tr>
      <w:tr>
        <w:tc>
          <w:tcPr>
            <w:tcW w:w="4253" w:type="dxa"/>
          </w:tcPr>
          <w:p>
            <w:pPr>
              <w:spacing w:after="0" w:line="240" w:lineRule="auto"/>
              <w:rPr>
                <w:rFonts w:ascii="Arial" w:eastAsia="Times New Roman" w:hAnsi="Arial" w:cs="Arial"/>
                <w:lang w:eastAsia="hu-HU"/>
              </w:rPr>
            </w:pPr>
            <w:r>
              <w:rPr>
                <w:rFonts w:ascii="Arial" w:hAnsi="Arial" w:cs="Arial"/>
              </w:rPr>
              <w:t>Csongrád-Csanád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bCs/>
                <w:color w:val="auto"/>
                <w:sz w:val="20"/>
                <w:szCs w:val="20"/>
              </w:rPr>
              <w:t>Czigléczkiné dr. Szentpéteri Szilvia</w:t>
            </w:r>
            <w:r>
              <w:rPr>
                <w:rFonts w:ascii="Arial" w:hAnsi="Arial" w:cs="Arial"/>
                <w:color w:val="auto"/>
                <w:sz w:val="20"/>
                <w:szCs w:val="20"/>
              </w:rPr>
              <w:t xml:space="preserve"> </w:t>
            </w:r>
          </w:p>
          <w:p>
            <w:pPr>
              <w:spacing w:after="0" w:line="240" w:lineRule="auto"/>
              <w:rPr>
                <w:rFonts w:ascii="Arial" w:eastAsia="Times New Roman" w:hAnsi="Arial" w:cs="Arial"/>
                <w:lang w:eastAsia="hu-HU"/>
              </w:rPr>
            </w:pPr>
            <w:hyperlink r:id="rId15" w:history="1">
              <w:r>
                <w:rPr>
                  <w:rStyle w:val="Hiperhivatkozs"/>
                  <w:rFonts w:ascii="Arial" w:hAnsi="Arial" w:cs="Arial"/>
                </w:rPr>
                <w:t>szentpeteri.szilvia@csongrad.gov.hu</w:t>
              </w:r>
            </w:hyperlink>
          </w:p>
        </w:tc>
      </w:tr>
      <w:tr>
        <w:tc>
          <w:tcPr>
            <w:tcW w:w="4253" w:type="dxa"/>
          </w:tcPr>
          <w:p>
            <w:pPr>
              <w:spacing w:after="0" w:line="240" w:lineRule="auto"/>
              <w:rPr>
                <w:rFonts w:ascii="Arial" w:eastAsia="Times New Roman" w:hAnsi="Arial" w:cs="Arial"/>
                <w:lang w:eastAsia="hu-HU"/>
              </w:rPr>
            </w:pPr>
            <w:r>
              <w:rPr>
                <w:rFonts w:ascii="Arial" w:hAnsi="Arial" w:cs="Arial"/>
              </w:rPr>
              <w:t>Fejér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Halmainé Dr. Takács Rita</w:t>
            </w:r>
          </w:p>
          <w:p>
            <w:pPr>
              <w:spacing w:after="0" w:line="240" w:lineRule="auto"/>
              <w:rPr>
                <w:rFonts w:ascii="Arial" w:eastAsia="Times New Roman" w:hAnsi="Arial" w:cs="Arial"/>
                <w:lang w:eastAsia="hu-HU"/>
              </w:rPr>
            </w:pPr>
            <w:hyperlink r:id="rId16" w:history="1">
              <w:r>
                <w:rPr>
                  <w:rStyle w:val="Hiperhivatkozs"/>
                  <w:rFonts w:ascii="Arial" w:hAnsi="Arial" w:cs="Arial"/>
                </w:rPr>
                <w:t>halmaine.takacs.rita@fejer.gov.hu</w:t>
              </w:r>
            </w:hyperlink>
            <w:r>
              <w:rPr>
                <w:rFonts w:ascii="Arial" w:hAnsi="Arial" w:cs="Arial"/>
              </w:rPr>
              <w:t xml:space="preserve"> </w:t>
            </w:r>
          </w:p>
        </w:tc>
      </w:tr>
      <w:tr>
        <w:tc>
          <w:tcPr>
            <w:tcW w:w="4253" w:type="dxa"/>
          </w:tcPr>
          <w:p>
            <w:pPr>
              <w:spacing w:after="0" w:line="240" w:lineRule="auto"/>
              <w:rPr>
                <w:rFonts w:ascii="Arial" w:eastAsia="Times New Roman" w:hAnsi="Arial" w:cs="Arial"/>
                <w:lang w:eastAsia="hu-HU"/>
              </w:rPr>
            </w:pPr>
            <w:r>
              <w:rPr>
                <w:rFonts w:ascii="Arial" w:hAnsi="Arial" w:cs="Arial"/>
              </w:rPr>
              <w:t>Győr-Moson-Sopron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Németh-Fátrai Lilla Róza</w:t>
            </w:r>
          </w:p>
          <w:p>
            <w:pPr>
              <w:spacing w:after="0" w:line="240" w:lineRule="auto"/>
              <w:rPr>
                <w:rFonts w:ascii="Arial" w:eastAsia="Times New Roman" w:hAnsi="Arial" w:cs="Arial"/>
                <w:lang w:eastAsia="hu-HU"/>
              </w:rPr>
            </w:pPr>
            <w:hyperlink r:id="rId17" w:history="1">
              <w:r>
                <w:rPr>
                  <w:rStyle w:val="Hiperhivatkozs"/>
                  <w:rFonts w:ascii="Arial" w:hAnsi="Arial" w:cs="Arial"/>
                </w:rPr>
                <w:t>fatrai.lilla@gyor.gov.hu</w:t>
              </w:r>
            </w:hyperlink>
            <w:r>
              <w:rPr>
                <w:rFonts w:ascii="Arial" w:hAnsi="Arial" w:cs="Arial"/>
              </w:rPr>
              <w:t xml:space="preserve"> </w:t>
            </w:r>
          </w:p>
        </w:tc>
      </w:tr>
      <w:tr>
        <w:tc>
          <w:tcPr>
            <w:tcW w:w="4253" w:type="dxa"/>
          </w:tcPr>
          <w:p>
            <w:pPr>
              <w:spacing w:after="0" w:line="240" w:lineRule="auto"/>
              <w:rPr>
                <w:rFonts w:ascii="Arial" w:eastAsia="Times New Roman" w:hAnsi="Arial" w:cs="Arial"/>
                <w:lang w:eastAsia="hu-HU"/>
              </w:rPr>
            </w:pPr>
            <w:r>
              <w:rPr>
                <w:rFonts w:ascii="Arial" w:hAnsi="Arial" w:cs="Arial"/>
              </w:rPr>
              <w:t>Hajdú-Bihar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Tar Ilona</w:t>
            </w:r>
          </w:p>
          <w:p>
            <w:pPr>
              <w:spacing w:after="0" w:line="240" w:lineRule="auto"/>
              <w:rPr>
                <w:rFonts w:ascii="Arial" w:eastAsia="Times New Roman" w:hAnsi="Arial" w:cs="Arial"/>
                <w:lang w:eastAsia="hu-HU"/>
              </w:rPr>
            </w:pPr>
            <w:hyperlink r:id="rId18" w:history="1">
              <w:r>
                <w:rPr>
                  <w:rStyle w:val="Hiperhivatkozs"/>
                  <w:rFonts w:ascii="Arial" w:hAnsi="Arial" w:cs="Arial"/>
                </w:rPr>
                <w:t>hivatal@hajdu.gov.hu</w:t>
              </w:r>
            </w:hyperlink>
          </w:p>
        </w:tc>
      </w:tr>
      <w:tr>
        <w:tc>
          <w:tcPr>
            <w:tcW w:w="4253" w:type="dxa"/>
          </w:tcPr>
          <w:p>
            <w:pPr>
              <w:spacing w:after="0" w:line="240" w:lineRule="auto"/>
              <w:rPr>
                <w:rFonts w:ascii="Arial" w:eastAsia="Times New Roman" w:hAnsi="Arial" w:cs="Arial"/>
                <w:lang w:eastAsia="hu-HU"/>
              </w:rPr>
            </w:pPr>
            <w:r>
              <w:rPr>
                <w:rFonts w:ascii="Arial" w:hAnsi="Arial" w:cs="Arial"/>
              </w:rPr>
              <w:t>Heves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sz w:val="20"/>
                <w:szCs w:val="20"/>
              </w:rPr>
              <w:t>Dr. Kozma-Kormos Katalin Eszter</w:t>
            </w:r>
          </w:p>
          <w:p>
            <w:pPr>
              <w:spacing w:after="0" w:line="240" w:lineRule="auto"/>
              <w:rPr>
                <w:rFonts w:ascii="Arial" w:eastAsia="Times New Roman" w:hAnsi="Arial" w:cs="Arial"/>
                <w:lang w:eastAsia="hu-HU"/>
              </w:rPr>
            </w:pPr>
            <w:hyperlink r:id="rId19" w:history="1">
              <w:r>
                <w:rPr>
                  <w:rStyle w:val="Hiperhivatkozs"/>
                  <w:rFonts w:ascii="Arial" w:hAnsi="Arial" w:cs="Arial"/>
                </w:rPr>
                <w:t>kozma.katalin.eszter@heves.gov.hu</w:t>
              </w:r>
            </w:hyperlink>
          </w:p>
        </w:tc>
      </w:tr>
      <w:tr>
        <w:tc>
          <w:tcPr>
            <w:tcW w:w="4253" w:type="dxa"/>
          </w:tcPr>
          <w:p>
            <w:pPr>
              <w:spacing w:after="0" w:line="240" w:lineRule="auto"/>
              <w:rPr>
                <w:rFonts w:ascii="Arial" w:eastAsia="Times New Roman" w:hAnsi="Arial" w:cs="Arial"/>
                <w:lang w:eastAsia="hu-HU"/>
              </w:rPr>
            </w:pPr>
            <w:r>
              <w:rPr>
                <w:rFonts w:ascii="Arial" w:hAnsi="Arial" w:cs="Arial"/>
              </w:rPr>
              <w:t>Jász-Nagykun-Szolnok Vármegyei Kormányhivatal</w:t>
            </w:r>
          </w:p>
        </w:tc>
        <w:tc>
          <w:tcPr>
            <w:tcW w:w="4809" w:type="dxa"/>
          </w:tcPr>
          <w:p>
            <w:pPr>
              <w:pStyle w:val="Default"/>
              <w:spacing w:beforeAutospacing="0" w:afterAutospacing="0"/>
              <w:rPr>
                <w:rFonts w:ascii="Arial" w:hAnsi="Arial" w:cs="Arial"/>
                <w:b/>
                <w:color w:val="auto"/>
                <w:sz w:val="20"/>
                <w:szCs w:val="20"/>
              </w:rPr>
            </w:pPr>
            <w:r>
              <w:rPr>
                <w:rStyle w:val="Kiemels2"/>
                <w:rFonts w:ascii="Arial" w:hAnsi="Arial" w:cs="Arial"/>
                <w:sz w:val="20"/>
                <w:szCs w:val="20"/>
              </w:rPr>
              <w:t>Szűcs-Kuklis Boglárka</w:t>
            </w:r>
          </w:p>
          <w:p>
            <w:pPr>
              <w:spacing w:after="0" w:line="240" w:lineRule="auto"/>
              <w:rPr>
                <w:rFonts w:ascii="Arial" w:eastAsia="Times New Roman" w:hAnsi="Arial" w:cs="Arial"/>
                <w:lang w:eastAsia="hu-HU"/>
              </w:rPr>
            </w:pPr>
            <w:hyperlink r:id="rId20" w:history="1">
              <w:r>
                <w:rPr>
                  <w:rStyle w:val="Hiperhivatkozs"/>
                  <w:rFonts w:ascii="Arial" w:hAnsi="Arial" w:cs="Arial"/>
                </w:rPr>
                <w:t>adatvedelem@jasz.gov.hu</w:t>
              </w:r>
            </w:hyperlink>
          </w:p>
        </w:tc>
      </w:tr>
      <w:tr>
        <w:tc>
          <w:tcPr>
            <w:tcW w:w="4253" w:type="dxa"/>
          </w:tcPr>
          <w:p>
            <w:pPr>
              <w:spacing w:after="0" w:line="240" w:lineRule="auto"/>
              <w:rPr>
                <w:rFonts w:ascii="Arial" w:eastAsia="Times New Roman" w:hAnsi="Arial" w:cs="Arial"/>
                <w:lang w:eastAsia="hu-HU"/>
              </w:rPr>
            </w:pPr>
            <w:r>
              <w:rPr>
                <w:rFonts w:ascii="Arial" w:hAnsi="Arial" w:cs="Arial"/>
              </w:rPr>
              <w:t>Komárom-Esztergom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sz w:val="20"/>
                <w:szCs w:val="20"/>
              </w:rPr>
              <w:t>Bendik Zsuzsanna</w:t>
            </w:r>
          </w:p>
          <w:p>
            <w:pPr>
              <w:spacing w:after="0" w:line="240" w:lineRule="auto"/>
              <w:rPr>
                <w:rFonts w:ascii="Arial" w:eastAsia="Times New Roman" w:hAnsi="Arial" w:cs="Arial"/>
                <w:lang w:eastAsia="hu-HU"/>
              </w:rPr>
            </w:pPr>
            <w:hyperlink r:id="rId21" w:history="1">
              <w:r>
                <w:rPr>
                  <w:rStyle w:val="Hiperhivatkozs"/>
                  <w:rFonts w:ascii="Arial" w:hAnsi="Arial" w:cs="Arial"/>
                </w:rPr>
                <w:t>hivatal@komarom.gov.hu</w:t>
              </w:r>
            </w:hyperlink>
          </w:p>
        </w:tc>
      </w:tr>
      <w:tr>
        <w:tc>
          <w:tcPr>
            <w:tcW w:w="4253" w:type="dxa"/>
          </w:tcPr>
          <w:p>
            <w:pPr>
              <w:spacing w:after="0" w:line="240" w:lineRule="auto"/>
              <w:rPr>
                <w:rFonts w:ascii="Arial" w:eastAsia="Times New Roman" w:hAnsi="Arial" w:cs="Arial"/>
                <w:lang w:eastAsia="hu-HU"/>
              </w:rPr>
            </w:pPr>
            <w:r>
              <w:rPr>
                <w:rFonts w:ascii="Arial" w:hAnsi="Arial" w:cs="Arial"/>
              </w:rPr>
              <w:t>Nógrád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sz w:val="20"/>
                <w:szCs w:val="20"/>
              </w:rPr>
              <w:t>Horváth Adrienn</w:t>
            </w:r>
          </w:p>
          <w:p>
            <w:pPr>
              <w:spacing w:after="0" w:line="240" w:lineRule="auto"/>
              <w:rPr>
                <w:rFonts w:ascii="Arial" w:eastAsia="Times New Roman" w:hAnsi="Arial" w:cs="Arial"/>
                <w:lang w:eastAsia="hu-HU"/>
              </w:rPr>
            </w:pPr>
            <w:hyperlink r:id="rId22" w:history="1">
              <w:r>
                <w:rPr>
                  <w:rStyle w:val="Hiperhivatkozs"/>
                  <w:rFonts w:ascii="Arial" w:hAnsi="Arial" w:cs="Arial"/>
                </w:rPr>
                <w:t>adatvedelem@nograd.gov.hu</w:t>
              </w:r>
            </w:hyperlink>
          </w:p>
        </w:tc>
      </w:tr>
      <w:tr>
        <w:tc>
          <w:tcPr>
            <w:tcW w:w="4253" w:type="dxa"/>
          </w:tcPr>
          <w:p>
            <w:pPr>
              <w:spacing w:after="0" w:line="240" w:lineRule="auto"/>
              <w:rPr>
                <w:rFonts w:ascii="Arial" w:eastAsia="Times New Roman" w:hAnsi="Arial" w:cs="Arial"/>
                <w:lang w:eastAsia="hu-HU"/>
              </w:rPr>
            </w:pPr>
            <w:r>
              <w:rPr>
                <w:rFonts w:ascii="Arial" w:hAnsi="Arial" w:cs="Arial"/>
              </w:rPr>
              <w:t>Somogy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Safferné dr. Bajczi Andrea</w:t>
            </w:r>
          </w:p>
          <w:p>
            <w:pPr>
              <w:spacing w:after="0" w:line="240" w:lineRule="auto"/>
              <w:rPr>
                <w:rFonts w:ascii="Arial" w:eastAsia="Times New Roman" w:hAnsi="Arial" w:cs="Arial"/>
                <w:lang w:eastAsia="hu-HU"/>
              </w:rPr>
            </w:pPr>
            <w:hyperlink r:id="rId23" w:history="1">
              <w:r>
                <w:rPr>
                  <w:rStyle w:val="Hiperhivatkozs"/>
                  <w:rFonts w:ascii="Arial" w:hAnsi="Arial" w:cs="Arial"/>
                </w:rPr>
                <w:t>adatvedelem@somogy.gov.hu</w:t>
              </w:r>
            </w:hyperlink>
          </w:p>
        </w:tc>
      </w:tr>
      <w:tr>
        <w:tc>
          <w:tcPr>
            <w:tcW w:w="4253" w:type="dxa"/>
          </w:tcPr>
          <w:p>
            <w:pPr>
              <w:spacing w:after="0" w:line="240" w:lineRule="auto"/>
              <w:rPr>
                <w:rFonts w:ascii="Arial" w:eastAsia="Times New Roman" w:hAnsi="Arial" w:cs="Arial"/>
                <w:lang w:eastAsia="hu-HU"/>
              </w:rPr>
            </w:pPr>
            <w:r>
              <w:rPr>
                <w:rFonts w:ascii="Arial" w:hAnsi="Arial" w:cs="Arial"/>
              </w:rPr>
              <w:t>Szabolcs-Szatmár-Bereg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Barczi Ákos</w:t>
            </w:r>
          </w:p>
          <w:p>
            <w:pPr>
              <w:spacing w:after="0" w:line="240" w:lineRule="auto"/>
              <w:rPr>
                <w:rFonts w:ascii="Arial" w:eastAsia="Times New Roman" w:hAnsi="Arial" w:cs="Arial"/>
                <w:lang w:eastAsia="hu-HU"/>
              </w:rPr>
            </w:pPr>
            <w:hyperlink r:id="rId24" w:history="1">
              <w:r>
                <w:rPr>
                  <w:rStyle w:val="Hiperhivatkozs"/>
                  <w:rFonts w:ascii="Arial" w:hAnsi="Arial" w:cs="Arial"/>
                </w:rPr>
                <w:t>adatvedelem@szabolcs.gov.hu</w:t>
              </w:r>
            </w:hyperlink>
          </w:p>
        </w:tc>
      </w:tr>
      <w:tr>
        <w:tc>
          <w:tcPr>
            <w:tcW w:w="4253" w:type="dxa"/>
          </w:tcPr>
          <w:p>
            <w:pPr>
              <w:spacing w:after="0" w:line="240" w:lineRule="auto"/>
              <w:rPr>
                <w:rFonts w:ascii="Arial" w:eastAsia="Times New Roman" w:hAnsi="Arial" w:cs="Arial"/>
                <w:lang w:eastAsia="hu-HU"/>
              </w:rPr>
            </w:pPr>
            <w:r>
              <w:rPr>
                <w:rFonts w:ascii="Arial" w:hAnsi="Arial" w:cs="Arial"/>
              </w:rPr>
              <w:t>Tolna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Horváth Mónika</w:t>
            </w:r>
          </w:p>
          <w:p>
            <w:pPr>
              <w:spacing w:after="0" w:line="240" w:lineRule="auto"/>
              <w:rPr>
                <w:rFonts w:ascii="Arial" w:eastAsia="Times New Roman" w:hAnsi="Arial" w:cs="Arial"/>
                <w:lang w:eastAsia="hu-HU"/>
              </w:rPr>
            </w:pPr>
            <w:hyperlink r:id="rId25" w:history="1">
              <w:r>
                <w:rPr>
                  <w:rStyle w:val="Hiperhivatkozs"/>
                  <w:rFonts w:ascii="Arial" w:hAnsi="Arial" w:cs="Arial"/>
                </w:rPr>
                <w:t>horvath.monika@tolna.gov.hu</w:t>
              </w:r>
            </w:hyperlink>
            <w:r>
              <w:rPr>
                <w:rFonts w:ascii="Arial" w:hAnsi="Arial" w:cs="Arial"/>
              </w:rPr>
              <w:t xml:space="preserve"> </w:t>
            </w:r>
          </w:p>
        </w:tc>
      </w:tr>
      <w:tr>
        <w:tc>
          <w:tcPr>
            <w:tcW w:w="4253" w:type="dxa"/>
          </w:tcPr>
          <w:p>
            <w:pPr>
              <w:spacing w:after="0" w:line="240" w:lineRule="auto"/>
              <w:rPr>
                <w:rFonts w:ascii="Arial" w:eastAsia="Times New Roman" w:hAnsi="Arial" w:cs="Arial"/>
                <w:lang w:eastAsia="hu-HU"/>
              </w:rPr>
            </w:pPr>
            <w:r>
              <w:rPr>
                <w:rFonts w:ascii="Arial" w:hAnsi="Arial" w:cs="Arial"/>
              </w:rPr>
              <w:t>Vas Vármegyei Kormányhivatal</w:t>
            </w:r>
          </w:p>
        </w:tc>
        <w:tc>
          <w:tcPr>
            <w:tcW w:w="4809" w:type="dxa"/>
          </w:tcPr>
          <w:p>
            <w:pPr>
              <w:spacing w:after="0" w:line="240" w:lineRule="auto"/>
              <w:rPr>
                <w:rFonts w:ascii="Arial" w:hAnsi="Arial" w:cs="Arial"/>
              </w:rPr>
            </w:pPr>
            <w:r>
              <w:rPr>
                <w:rFonts w:ascii="Arial" w:eastAsia="Times New Roman" w:hAnsi="Arial" w:cs="Arial"/>
              </w:rPr>
              <w:t>Dr. Németh Balázs</w:t>
            </w:r>
          </w:p>
          <w:p>
            <w:pPr>
              <w:spacing w:after="0" w:line="240" w:lineRule="auto"/>
              <w:rPr>
                <w:rFonts w:ascii="Arial" w:eastAsia="Times New Roman" w:hAnsi="Arial" w:cs="Arial"/>
                <w:lang w:eastAsia="hu-HU"/>
              </w:rPr>
            </w:pPr>
            <w:hyperlink r:id="rId26" w:history="1">
              <w:r>
                <w:rPr>
                  <w:rStyle w:val="Hiperhivatkozs"/>
                  <w:rFonts w:ascii="Arial" w:hAnsi="Arial" w:cs="Arial"/>
                </w:rPr>
                <w:t>hivatal@vas.gov.hu</w:t>
              </w:r>
            </w:hyperlink>
          </w:p>
        </w:tc>
      </w:tr>
      <w:tr>
        <w:tc>
          <w:tcPr>
            <w:tcW w:w="4253" w:type="dxa"/>
          </w:tcPr>
          <w:p>
            <w:pPr>
              <w:spacing w:after="0" w:line="240" w:lineRule="auto"/>
              <w:rPr>
                <w:rFonts w:ascii="Arial" w:eastAsia="Times New Roman" w:hAnsi="Arial" w:cs="Arial"/>
                <w:lang w:eastAsia="hu-HU"/>
              </w:rPr>
            </w:pPr>
            <w:r>
              <w:rPr>
                <w:rFonts w:ascii="Arial" w:hAnsi="Arial" w:cs="Arial"/>
              </w:rPr>
              <w:t>Veszprém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Árpásy Tamás</w:t>
            </w:r>
          </w:p>
          <w:p>
            <w:pPr>
              <w:spacing w:after="0" w:line="240" w:lineRule="auto"/>
              <w:rPr>
                <w:rFonts w:ascii="Arial" w:eastAsia="Times New Roman" w:hAnsi="Arial" w:cs="Arial"/>
                <w:lang w:eastAsia="hu-HU"/>
              </w:rPr>
            </w:pPr>
            <w:hyperlink r:id="rId27" w:history="1">
              <w:r>
                <w:rPr>
                  <w:rStyle w:val="Hiperhivatkozs"/>
                  <w:rFonts w:ascii="Arial" w:hAnsi="Arial" w:cs="Arial"/>
                </w:rPr>
                <w:t>arpasy.tamas@veszprem.gov.hu</w:t>
              </w:r>
            </w:hyperlink>
          </w:p>
        </w:tc>
      </w:tr>
      <w:tr>
        <w:tc>
          <w:tcPr>
            <w:tcW w:w="4253" w:type="dxa"/>
          </w:tcPr>
          <w:p>
            <w:pPr>
              <w:spacing w:after="0" w:line="240" w:lineRule="auto"/>
              <w:rPr>
                <w:rFonts w:ascii="Arial" w:eastAsia="Times New Roman" w:hAnsi="Arial" w:cs="Arial"/>
                <w:lang w:eastAsia="hu-HU"/>
              </w:rPr>
            </w:pPr>
            <w:r>
              <w:rPr>
                <w:rFonts w:ascii="Arial" w:hAnsi="Arial" w:cs="Arial"/>
              </w:rPr>
              <w:t>Zala Vármegyei Kormányhivatal</w:t>
            </w:r>
          </w:p>
        </w:tc>
        <w:tc>
          <w:tcPr>
            <w:tcW w:w="4809" w:type="dxa"/>
          </w:tcPr>
          <w:p>
            <w:pPr>
              <w:spacing w:after="0" w:line="240" w:lineRule="auto"/>
              <w:jc w:val="both"/>
              <w:rPr>
                <w:rFonts w:ascii="Arial" w:hAnsi="Arial" w:cs="Arial"/>
              </w:rPr>
            </w:pPr>
            <w:r>
              <w:rPr>
                <w:rFonts w:ascii="Arial" w:eastAsia="Times New Roman" w:hAnsi="Arial" w:cs="Arial"/>
              </w:rPr>
              <w:t>dr. Kósa Kitti</w:t>
            </w:r>
          </w:p>
          <w:p>
            <w:pPr>
              <w:spacing w:after="0" w:line="240" w:lineRule="auto"/>
              <w:rPr>
                <w:rFonts w:ascii="Arial" w:eastAsia="Times New Roman" w:hAnsi="Arial" w:cs="Arial"/>
                <w:lang w:eastAsia="hu-HU"/>
              </w:rPr>
            </w:pPr>
            <w:hyperlink r:id="rId28" w:history="1">
              <w:r>
                <w:rPr>
                  <w:rStyle w:val="Hiperhivatkozs"/>
                  <w:rFonts w:ascii="Arial" w:hAnsi="Arial" w:cs="Arial"/>
                </w:rPr>
                <w:t>kosa.kitti.eszter@zala.gov.hu</w:t>
              </w:r>
            </w:hyperlink>
          </w:p>
        </w:tc>
      </w:tr>
      <w:tr>
        <w:tc>
          <w:tcPr>
            <w:tcW w:w="4253" w:type="dxa"/>
          </w:tcPr>
          <w:p>
            <w:pPr>
              <w:spacing w:after="0" w:line="240" w:lineRule="auto"/>
              <w:rPr>
                <w:rFonts w:ascii="Arial" w:eastAsia="Times New Roman" w:hAnsi="Arial" w:cs="Arial"/>
                <w:lang w:eastAsia="hu-HU"/>
              </w:rPr>
            </w:pPr>
            <w:r>
              <w:rPr>
                <w:rFonts w:ascii="Arial" w:eastAsia="Times New Roman" w:hAnsi="Arial" w:cs="Arial"/>
                <w:lang w:eastAsia="hu-HU"/>
              </w:rPr>
              <w:t>Járási / fővárosi kerületi hivatalok</w:t>
            </w:r>
          </w:p>
        </w:tc>
        <w:tc>
          <w:tcPr>
            <w:tcW w:w="4809" w:type="dxa"/>
          </w:tcPr>
          <w:p>
            <w:pPr>
              <w:spacing w:after="0" w:line="240" w:lineRule="auto"/>
              <w:rPr>
                <w:rFonts w:ascii="Arial" w:eastAsia="Times New Roman" w:hAnsi="Arial" w:cs="Arial"/>
                <w:lang w:eastAsia="hu-HU"/>
              </w:rPr>
            </w:pPr>
            <w:r>
              <w:rPr>
                <w:rFonts w:ascii="Arial" w:eastAsia="Times New Roman" w:hAnsi="Arial" w:cs="Arial"/>
                <w:lang w:eastAsia="hu-HU"/>
              </w:rPr>
              <w:t>Az adott vármegyei/fővárosi kormányhivatal adatvédelmi tisztviselője az illetékes.</w:t>
            </w:r>
          </w:p>
        </w:tc>
      </w:tr>
    </w:tbl>
    <w:p>
      <w:pPr>
        <w:suppressAutoHyphens w:val="0"/>
        <w:spacing w:after="0" w:line="240" w:lineRule="auto"/>
        <w:rPr>
          <w:rFonts w:ascii="Arial" w:eastAsia="Times New Roman" w:hAnsi="Arial" w:cs="Arial"/>
          <w:sz w:val="20"/>
          <w:szCs w:val="20"/>
          <w:lang w:eastAsia="hu-HU"/>
        </w:rPr>
      </w:pPr>
    </w:p>
    <w:p>
      <w:pPr>
        <w:suppressAutoHyphens w:val="0"/>
        <w:spacing w:after="0" w:line="240" w:lineRule="auto"/>
        <w:rPr>
          <w:rFonts w:ascii="Arial" w:eastAsia="Times New Roman" w:hAnsi="Arial" w:cs="Arial"/>
          <w:color w:val="0000FF"/>
          <w:sz w:val="20"/>
          <w:szCs w:val="20"/>
          <w:u w:val="single"/>
          <w:lang w:eastAsia="hu-HU"/>
        </w:rPr>
      </w:pPr>
      <w:r>
        <w:rPr>
          <w:rFonts w:ascii="Arial" w:eastAsia="Times New Roman" w:hAnsi="Arial" w:cs="Arial"/>
          <w:sz w:val="20"/>
          <w:szCs w:val="20"/>
          <w:lang w:eastAsia="hu-HU"/>
        </w:rPr>
        <w:t xml:space="preserve">További elérhetőség:  </w:t>
      </w:r>
      <w:r>
        <w:rPr>
          <w:rFonts w:ascii="Arial" w:eastAsia="Times New Roman" w:hAnsi="Arial" w:cs="Arial"/>
          <w:sz w:val="20"/>
          <w:szCs w:val="20"/>
          <w:lang w:eastAsia="hu-HU"/>
        </w:rPr>
        <w:tab/>
      </w:r>
      <w:r>
        <w:rPr>
          <w:rFonts w:ascii="Arial" w:eastAsia="Times New Roman" w:hAnsi="Arial" w:cs="Arial"/>
          <w:sz w:val="20"/>
          <w:szCs w:val="20"/>
          <w:lang w:eastAsia="hu-HU"/>
        </w:rPr>
        <w:tab/>
      </w:r>
      <w:hyperlink r:id="rId29" w:history="1">
        <w:r>
          <w:rPr>
            <w:rFonts w:ascii="Arial" w:eastAsia="Times New Roman" w:hAnsi="Arial" w:cs="Arial"/>
            <w:color w:val="0000FF"/>
            <w:sz w:val="20"/>
            <w:szCs w:val="20"/>
            <w:u w:val="single"/>
            <w:lang w:eastAsia="hu-HU"/>
          </w:rPr>
          <w:t>https://nfsz.munka.hu/tart/kapcsolat/osztaly</w:t>
        </w:r>
      </w:hyperlink>
    </w:p>
    <w:p>
      <w:pPr>
        <w:suppressAutoHyphens w:val="0"/>
        <w:spacing w:after="0" w:line="240" w:lineRule="auto"/>
        <w:rPr>
          <w:rFonts w:ascii="Arial" w:eastAsia="Times New Roman" w:hAnsi="Arial" w:cs="Arial"/>
          <w:color w:val="0000FF"/>
          <w:sz w:val="20"/>
          <w:szCs w:val="20"/>
          <w:u w:val="single"/>
          <w:lang w:eastAsia="hu-HU"/>
        </w:rPr>
      </w:pPr>
      <w:r>
        <w:rPr>
          <w:rFonts w:ascii="Arial" w:eastAsia="Times New Roman" w:hAnsi="Arial" w:cs="Arial"/>
          <w:b/>
          <w:sz w:val="20"/>
          <w:szCs w:val="20"/>
          <w:lang w:eastAsia="hu-HU"/>
        </w:rPr>
        <w:tab/>
      </w:r>
      <w:r>
        <w:rPr>
          <w:rFonts w:ascii="Arial" w:eastAsia="Times New Roman" w:hAnsi="Arial" w:cs="Arial"/>
          <w:b/>
          <w:sz w:val="20"/>
          <w:szCs w:val="20"/>
          <w:lang w:eastAsia="hu-HU"/>
        </w:rPr>
        <w:tab/>
      </w:r>
      <w:r>
        <w:rPr>
          <w:rFonts w:ascii="Arial" w:eastAsia="Times New Roman" w:hAnsi="Arial" w:cs="Arial"/>
          <w:b/>
          <w:sz w:val="20"/>
          <w:szCs w:val="20"/>
          <w:lang w:eastAsia="hu-HU"/>
        </w:rPr>
        <w:tab/>
      </w:r>
      <w:r>
        <w:rPr>
          <w:rFonts w:ascii="Arial" w:eastAsia="Times New Roman" w:hAnsi="Arial" w:cs="Arial"/>
          <w:b/>
          <w:sz w:val="20"/>
          <w:szCs w:val="20"/>
          <w:lang w:eastAsia="hu-HU"/>
        </w:rPr>
        <w:tab/>
      </w:r>
      <w:r>
        <w:rPr>
          <w:rFonts w:ascii="Arial" w:eastAsia="Times New Roman" w:hAnsi="Arial" w:cs="Arial"/>
          <w:color w:val="0000FF"/>
          <w:sz w:val="20"/>
          <w:szCs w:val="20"/>
          <w:u w:val="single"/>
          <w:lang w:eastAsia="hu-HU"/>
        </w:rPr>
        <w:t>https://nfsz.munka.hu/tart/kapcsolat/foosztaly</w:t>
      </w:r>
    </w:p>
    <w:p>
      <w:pPr>
        <w:suppressAutoHyphens w:val="0"/>
        <w:spacing w:after="0" w:line="240" w:lineRule="auto"/>
        <w:rPr>
          <w:rFonts w:ascii="Arial" w:eastAsia="Times New Roman" w:hAnsi="Arial" w:cs="Arial"/>
          <w:b/>
          <w:sz w:val="20"/>
          <w:szCs w:val="20"/>
          <w:lang w:eastAsia="hu-HU"/>
        </w:rPr>
      </w:pPr>
      <w:r>
        <w:rPr>
          <w:rFonts w:ascii="Arial" w:eastAsia="Times New Roman" w:hAnsi="Arial" w:cs="Arial"/>
          <w:sz w:val="20"/>
          <w:szCs w:val="20"/>
          <w:lang w:eastAsia="hu-HU"/>
        </w:rPr>
        <w:tab/>
        <w:t xml:space="preserve">         </w:t>
      </w:r>
      <w:r>
        <w:rPr>
          <w:rFonts w:ascii="Arial" w:eastAsia="Times New Roman" w:hAnsi="Arial" w:cs="Arial"/>
          <w:sz w:val="20"/>
          <w:szCs w:val="20"/>
          <w:lang w:eastAsia="hu-HU"/>
        </w:rPr>
        <w:tab/>
      </w:r>
      <w:r>
        <w:rPr>
          <w:rFonts w:ascii="Arial" w:eastAsia="Times New Roman" w:hAnsi="Arial" w:cs="Arial"/>
          <w:sz w:val="20"/>
          <w:szCs w:val="20"/>
          <w:lang w:eastAsia="hu-HU"/>
        </w:rPr>
        <w:tab/>
      </w:r>
      <w:r>
        <w:rPr>
          <w:rFonts w:ascii="Arial" w:eastAsia="Times New Roman" w:hAnsi="Arial" w:cs="Arial"/>
          <w:sz w:val="20"/>
          <w:szCs w:val="20"/>
          <w:lang w:eastAsia="hu-HU"/>
        </w:rPr>
        <w:tab/>
      </w:r>
      <w:hyperlink r:id="rId30" w:history="1">
        <w:r>
          <w:rPr>
            <w:rFonts w:ascii="Arial" w:eastAsia="Times New Roman" w:hAnsi="Arial" w:cs="Arial"/>
            <w:color w:val="0000FF"/>
            <w:sz w:val="20"/>
            <w:szCs w:val="20"/>
            <w:u w:val="single"/>
            <w:lang w:eastAsia="hu-HU"/>
          </w:rPr>
          <w:t>https://nfsz.munka.hu/tart/szervezetunk</w:t>
        </w:r>
      </w:hyperlink>
      <w:r>
        <w:rPr>
          <w:rFonts w:ascii="Arial" w:eastAsia="Times New Roman" w:hAnsi="Arial" w:cs="Arial"/>
          <w:sz w:val="20"/>
          <w:szCs w:val="20"/>
          <w:lang w:eastAsia="hu-HU"/>
        </w:rPr>
        <w:t xml:space="preserve"> </w:t>
      </w:r>
    </w:p>
    <w:p>
      <w:pPr>
        <w:suppressAutoHyphens w:val="0"/>
        <w:spacing w:after="0" w:line="240" w:lineRule="auto"/>
        <w:rPr>
          <w:rFonts w:ascii="Arial" w:eastAsia="Times New Roman" w:hAnsi="Arial" w:cs="Arial"/>
          <w:sz w:val="20"/>
          <w:szCs w:val="20"/>
          <w:lang w:eastAsia="hu-HU"/>
        </w:rPr>
      </w:pPr>
    </w:p>
    <w:p>
      <w:pPr>
        <w:numPr>
          <w:ilvl w:val="0"/>
          <w:numId w:val="9"/>
        </w:numPr>
        <w:suppressAutoHyphens w:val="0"/>
        <w:spacing w:after="0" w:line="240" w:lineRule="auto"/>
        <w:ind w:left="284" w:hanging="284"/>
        <w:outlineLvl w:val="0"/>
        <w:rPr>
          <w:rFonts w:ascii="Arial" w:eastAsia="Times New Roman" w:hAnsi="Arial" w:cs="Arial"/>
          <w:b/>
          <w:sz w:val="20"/>
          <w:szCs w:val="20"/>
          <w:lang w:eastAsia="hu-HU"/>
        </w:rPr>
      </w:pPr>
      <w:r>
        <w:rPr>
          <w:rFonts w:ascii="Arial" w:eastAsia="Times New Roman" w:hAnsi="Arial" w:cs="Arial"/>
          <w:b/>
          <w:sz w:val="20"/>
          <w:szCs w:val="20"/>
          <w:lang w:eastAsia="hu-HU"/>
        </w:rPr>
        <w:t xml:space="preserve"> Érintett ESZA/ESZA+programok</w:t>
      </w:r>
    </w:p>
    <w:tbl>
      <w:tblPr>
        <w:tblStyle w:val="Rcsostblzat2"/>
        <w:tblW w:w="0" w:type="auto"/>
        <w:tblInd w:w="108" w:type="dxa"/>
        <w:tblLook w:val="04A0" w:firstRow="1" w:lastRow="0" w:firstColumn="1" w:lastColumn="0" w:noHBand="0" w:noVBand="1"/>
      </w:tblPr>
      <w:tblGrid>
        <w:gridCol w:w="8954"/>
      </w:tblGrid>
      <w:tr>
        <w:trPr>
          <w:trHeight w:val="320"/>
        </w:trPr>
        <w:tc>
          <w:tcPr>
            <w:tcW w:w="9072" w:type="dxa"/>
          </w:tcPr>
          <w:p>
            <w:pPr>
              <w:spacing w:after="0" w:line="240" w:lineRule="auto"/>
              <w:jc w:val="both"/>
              <w:rPr>
                <w:rFonts w:ascii="Arial" w:eastAsia="Times New Roman" w:hAnsi="Arial" w:cs="Arial"/>
                <w:b/>
                <w:lang w:eastAsia="hu-HU"/>
              </w:rPr>
            </w:pPr>
            <w:r>
              <w:rPr>
                <w:rFonts w:ascii="Arial" w:eastAsia="Times New Roman" w:hAnsi="Arial" w:cs="Arial"/>
                <w:lang w:eastAsia="hu-HU"/>
              </w:rPr>
              <w:t xml:space="preserve">GINOP-5.2.1-14-2015-00001 / VEKOP-8.2.1-15-2015-00001 Ifjúsági Garancia </w:t>
            </w:r>
          </w:p>
        </w:tc>
      </w:tr>
      <w:tr>
        <w:tc>
          <w:tcPr>
            <w:tcW w:w="9072" w:type="dxa"/>
          </w:tcPr>
          <w:p>
            <w:pPr>
              <w:spacing w:after="0" w:line="240" w:lineRule="auto"/>
              <w:jc w:val="both"/>
              <w:rPr>
                <w:rFonts w:ascii="Arial" w:eastAsia="Times New Roman" w:hAnsi="Arial" w:cs="Arial"/>
                <w:lang w:eastAsia="hu-HU"/>
              </w:rPr>
            </w:pPr>
            <w:r>
              <w:rPr>
                <w:rFonts w:ascii="Arial" w:eastAsia="Times New Roman" w:hAnsi="Arial" w:cs="Arial"/>
                <w:lang w:eastAsia="hu-HU"/>
              </w:rPr>
              <w:t>TOP-5.1.2-15 Helyi foglalkoztatási együttműködések</w:t>
            </w:r>
          </w:p>
          <w:p>
            <w:pPr>
              <w:spacing w:after="0" w:line="240" w:lineRule="auto"/>
              <w:jc w:val="both"/>
              <w:rPr>
                <w:rFonts w:ascii="Arial" w:eastAsia="Times New Roman" w:hAnsi="Arial" w:cs="Arial"/>
                <w:lang w:eastAsia="hu-HU"/>
              </w:rPr>
            </w:pPr>
            <w:r>
              <w:rPr>
                <w:rFonts w:ascii="Arial" w:eastAsia="Times New Roman" w:hAnsi="Arial" w:cs="Arial"/>
                <w:lang w:eastAsia="hu-HU"/>
              </w:rPr>
              <w:t>TOP-5.1.1.-15 Megyei szintű foglalkoztatási megállapodások, foglalkoztatási-gazdaságfejlesztési együttműködések</w:t>
            </w:r>
          </w:p>
          <w:p>
            <w:pPr>
              <w:spacing w:after="0" w:line="240" w:lineRule="auto"/>
              <w:jc w:val="both"/>
              <w:rPr>
                <w:rFonts w:ascii="Arial" w:eastAsia="Times New Roman" w:hAnsi="Arial" w:cs="Arial"/>
                <w:lang w:eastAsia="hu-HU"/>
              </w:rPr>
            </w:pPr>
            <w:r>
              <w:rPr>
                <w:rFonts w:ascii="Arial" w:eastAsia="Times New Roman" w:hAnsi="Arial" w:cs="Arial"/>
                <w:lang w:eastAsia="hu-HU"/>
              </w:rPr>
              <w:t>TOP-6.8.2.-15 Helyi foglalkoztatási együttműködések a megyei jogú város területén és várostérségében</w:t>
            </w:r>
          </w:p>
        </w:tc>
      </w:tr>
      <w:tr>
        <w:trPr>
          <w:trHeight w:val="330"/>
        </w:trPr>
        <w:tc>
          <w:tcPr>
            <w:tcW w:w="9072" w:type="dxa"/>
          </w:tcPr>
          <w:p>
            <w:pPr>
              <w:spacing w:after="0" w:line="240" w:lineRule="auto"/>
              <w:jc w:val="both"/>
              <w:rPr>
                <w:rFonts w:ascii="Arial" w:eastAsia="Times New Roman" w:hAnsi="Arial" w:cs="Arial"/>
                <w:b/>
                <w:lang w:eastAsia="hu-HU"/>
              </w:rPr>
            </w:pPr>
            <w:r>
              <w:rPr>
                <w:rFonts w:ascii="Arial" w:eastAsia="Times New Roman" w:hAnsi="Arial" w:cs="Arial"/>
                <w:lang w:eastAsia="hu-HU"/>
              </w:rPr>
              <w:t xml:space="preserve">GINOP-5.1.1-15-2015-00001 / VEKOP-8.1.1-15-2015-00001 Út a munkaerőpiacra </w:t>
            </w:r>
          </w:p>
        </w:tc>
      </w:tr>
      <w:tr>
        <w:tc>
          <w:tcPr>
            <w:tcW w:w="9072" w:type="dxa"/>
          </w:tcPr>
          <w:p>
            <w:pPr>
              <w:spacing w:after="0" w:line="240" w:lineRule="auto"/>
              <w:jc w:val="both"/>
              <w:rPr>
                <w:rFonts w:ascii="Arial" w:eastAsia="Times New Roman" w:hAnsi="Arial" w:cs="Arial"/>
                <w:b/>
                <w:lang w:eastAsia="hu-HU"/>
              </w:rPr>
            </w:pPr>
            <w:r>
              <w:rPr>
                <w:rFonts w:ascii="Arial" w:eastAsia="Times New Roman" w:hAnsi="Arial" w:cs="Arial"/>
                <w:lang w:eastAsia="hu-HU"/>
              </w:rPr>
              <w:t>GINOP-10.1.1-21 Ágazati bértámogatás a COVID-19 járvány munkaerőpiaci hatásainak kezelésére</w:t>
            </w:r>
          </w:p>
        </w:tc>
      </w:tr>
      <w:tr>
        <w:tc>
          <w:tcPr>
            <w:tcW w:w="9072" w:type="dxa"/>
          </w:tcPr>
          <w:p>
            <w:pPr>
              <w:spacing w:after="0" w:line="240" w:lineRule="auto"/>
              <w:jc w:val="both"/>
              <w:rPr>
                <w:rFonts w:ascii="Arial" w:eastAsia="Times New Roman" w:hAnsi="Arial" w:cs="Arial"/>
                <w:b/>
                <w:lang w:eastAsia="hu-HU"/>
              </w:rPr>
            </w:pPr>
            <w:r>
              <w:rPr>
                <w:rFonts w:ascii="Arial" w:eastAsia="Times New Roman" w:hAnsi="Arial" w:cs="Arial"/>
                <w:lang w:eastAsia="hu-HU"/>
              </w:rPr>
              <w:t>GINOP-5.3.16-VEKOP-20 Veszélyhelyzeti bértámogatás kutatásfejlesztési munkahelymegőrzés céljából</w:t>
            </w:r>
          </w:p>
        </w:tc>
      </w:tr>
      <w:tr>
        <w:tc>
          <w:tcPr>
            <w:tcW w:w="9072" w:type="dxa"/>
          </w:tcPr>
          <w:p>
            <w:pPr>
              <w:spacing w:after="0" w:line="240" w:lineRule="auto"/>
              <w:jc w:val="both"/>
              <w:rPr>
                <w:rFonts w:ascii="Arial" w:eastAsia="Times New Roman" w:hAnsi="Arial" w:cs="Arial"/>
                <w:b/>
                <w:lang w:eastAsia="hu-HU"/>
              </w:rPr>
            </w:pPr>
            <w:r>
              <w:rPr>
                <w:rFonts w:ascii="Arial" w:eastAsia="Times New Roman" w:hAnsi="Arial" w:cs="Arial"/>
                <w:lang w:eastAsia="hu-HU"/>
              </w:rPr>
              <w:t>GINOP Plusz-3.2.1-21 A munkavállalók és vállalatok alkalmazkodóképességének és termelékenységének javítása a munkaerő fejlesztésén keresztül</w:t>
            </w:r>
          </w:p>
        </w:tc>
      </w:tr>
      <w:tr>
        <w:tc>
          <w:tcPr>
            <w:tcW w:w="9072" w:type="dxa"/>
          </w:tcPr>
          <w:p>
            <w:pPr>
              <w:spacing w:after="0" w:line="240" w:lineRule="auto"/>
              <w:jc w:val="both"/>
              <w:rPr>
                <w:rFonts w:ascii="Arial" w:eastAsia="Times New Roman" w:hAnsi="Arial" w:cs="Arial"/>
                <w:lang w:eastAsia="hu-HU"/>
              </w:rPr>
            </w:pPr>
            <w:r>
              <w:rPr>
                <w:rFonts w:ascii="Arial" w:eastAsia="Times New Roman" w:hAnsi="Arial" w:cs="Arial"/>
                <w:lang w:eastAsia="hu-HU"/>
              </w:rPr>
              <w:t>TOP_PLUSZ-3.1.1-21 Megyei foglalkoztatási gazdaságfejlesztési együttműködések</w:t>
            </w:r>
            <w:r>
              <w:rPr>
                <w:rFonts w:ascii="Arial" w:eastAsia="Times New Roman" w:hAnsi="Arial" w:cs="Arial"/>
                <w:color w:val="777777"/>
                <w:shd w:val="clear" w:color="auto" w:fill="FFFFFF"/>
                <w:lang w:eastAsia="hu-HU"/>
              </w:rPr>
              <w:t xml:space="preserve"> </w:t>
            </w:r>
          </w:p>
        </w:tc>
      </w:tr>
      <w:tr>
        <w:tc>
          <w:tcPr>
            <w:tcW w:w="9072" w:type="dxa"/>
          </w:tcPr>
          <w:p>
            <w:pPr>
              <w:spacing w:after="0" w:line="240" w:lineRule="auto"/>
              <w:jc w:val="both"/>
              <w:rPr>
                <w:rFonts w:ascii="Arial" w:eastAsia="Times New Roman" w:hAnsi="Arial" w:cs="Arial"/>
                <w:lang w:eastAsia="hu-HU"/>
              </w:rPr>
            </w:pPr>
            <w:r>
              <w:rPr>
                <w:rFonts w:ascii="Arial" w:eastAsia="Times New Roman" w:hAnsi="Arial" w:cs="Arial"/>
                <w:lang w:eastAsia="hu-HU"/>
              </w:rPr>
              <w:t>GINOP Plusz-4.1.1.-23 Ifjúsági Garancia Plusz</w:t>
            </w:r>
            <w:r>
              <w:rPr>
                <w:rFonts w:ascii="Arial" w:eastAsia="Times New Roman" w:hAnsi="Arial" w:cs="Arial"/>
                <w:lang w:eastAsia="hu-HU"/>
              </w:rPr>
              <w:tab/>
            </w:r>
          </w:p>
        </w:tc>
      </w:tr>
      <w:tr>
        <w:tc>
          <w:tcPr>
            <w:tcW w:w="9072" w:type="dxa"/>
          </w:tcPr>
          <w:p>
            <w:pPr>
              <w:spacing w:after="0" w:line="240" w:lineRule="auto"/>
              <w:jc w:val="both"/>
              <w:rPr>
                <w:rFonts w:ascii="Arial" w:eastAsia="Times New Roman" w:hAnsi="Arial" w:cs="Arial"/>
                <w:lang w:eastAsia="hu-HU"/>
              </w:rPr>
            </w:pPr>
            <w:r>
              <w:rPr>
                <w:rFonts w:ascii="Arial" w:eastAsia="Times New Roman" w:hAnsi="Arial" w:cs="Arial"/>
                <w:lang w:eastAsia="hu-HU"/>
              </w:rPr>
              <w:t>GINOP Plusz-3.1.1.-23 Munkaerő-kínálat bővítése és fejlesztése</w:t>
            </w:r>
          </w:p>
        </w:tc>
      </w:tr>
    </w:tbl>
    <w:p>
      <w:pPr>
        <w:suppressAutoHyphens w:val="0"/>
        <w:spacing w:after="0" w:line="240" w:lineRule="auto"/>
        <w:ind w:left="720"/>
        <w:rPr>
          <w:rFonts w:ascii="Arial" w:eastAsia="Times New Roman" w:hAnsi="Arial" w:cs="Arial"/>
          <w:sz w:val="20"/>
          <w:szCs w:val="20"/>
          <w:lang w:eastAsia="hu-HU"/>
        </w:rPr>
      </w:pPr>
    </w:p>
    <w:p>
      <w:pPr>
        <w:numPr>
          <w:ilvl w:val="0"/>
          <w:numId w:val="9"/>
        </w:numPr>
        <w:suppressAutoHyphens w:val="0"/>
        <w:spacing w:after="0" w:line="240" w:lineRule="auto"/>
        <w:ind w:left="284" w:hanging="284"/>
        <w:outlineLvl w:val="0"/>
        <w:rPr>
          <w:rFonts w:ascii="Arial" w:eastAsia="Times New Roman" w:hAnsi="Arial" w:cs="Arial"/>
          <w:b/>
          <w:sz w:val="20"/>
          <w:szCs w:val="20"/>
          <w:lang w:eastAsia="hu-HU"/>
        </w:rPr>
      </w:pPr>
      <w:r>
        <w:rPr>
          <w:rFonts w:ascii="Arial" w:eastAsia="Times New Roman" w:hAnsi="Arial" w:cs="Arial"/>
          <w:b/>
          <w:sz w:val="20"/>
          <w:szCs w:val="20"/>
          <w:lang w:eastAsia="hu-HU"/>
        </w:rPr>
        <w:t xml:space="preserve">Az adatkezelés célja </w:t>
      </w:r>
    </w:p>
    <w:tbl>
      <w:tblPr>
        <w:tblStyle w:val="Rcsostblzat2"/>
        <w:tblW w:w="0" w:type="auto"/>
        <w:tblInd w:w="108" w:type="dxa"/>
        <w:tblLook w:val="04A0" w:firstRow="1" w:lastRow="0" w:firstColumn="1" w:lastColumn="0" w:noHBand="0" w:noVBand="1"/>
      </w:tblPr>
      <w:tblGrid>
        <w:gridCol w:w="4405"/>
        <w:gridCol w:w="4549"/>
      </w:tblGrid>
      <w:tr>
        <w:tc>
          <w:tcPr>
            <w:tcW w:w="4498" w:type="dxa"/>
          </w:tcPr>
          <w:p>
            <w:pPr>
              <w:spacing w:after="0" w:line="240" w:lineRule="auto"/>
              <w:rPr>
                <w:rFonts w:ascii="Arial" w:eastAsia="Times New Roman" w:hAnsi="Arial" w:cs="Arial"/>
                <w:lang w:eastAsia="hu-HU"/>
              </w:rPr>
            </w:pPr>
            <w:r>
              <w:rPr>
                <w:rFonts w:ascii="Arial" w:eastAsia="Times New Roman" w:hAnsi="Arial" w:cs="Arial"/>
                <w:lang w:eastAsia="hu-HU"/>
              </w:rPr>
              <w:lastRenderedPageBreak/>
              <w:t>járási hivatal</w:t>
            </w:r>
          </w:p>
        </w:tc>
        <w:tc>
          <w:tcPr>
            <w:tcW w:w="4606" w:type="dxa"/>
          </w:tcPr>
          <w:p>
            <w:pPr>
              <w:spacing w:after="0" w:line="240" w:lineRule="auto"/>
              <w:jc w:val="both"/>
              <w:rPr>
                <w:rFonts w:ascii="Arial" w:eastAsia="Times New Roman" w:hAnsi="Arial" w:cs="Arial"/>
                <w:lang w:eastAsia="hu-HU"/>
              </w:rPr>
            </w:pPr>
            <w:r>
              <w:rPr>
                <w:rFonts w:ascii="Arial" w:eastAsia="Times New Roman" w:hAnsi="Arial" w:cs="Arial"/>
                <w:lang w:eastAsia="hu-HU"/>
              </w:rPr>
              <w:t xml:space="preserve">Az ESZA/ESZA+ által finanszírozott intézkedésekben résztvevőkről </w:t>
            </w:r>
          </w:p>
          <w:p>
            <w:pPr>
              <w:numPr>
                <w:ilvl w:val="0"/>
                <w:numId w:val="11"/>
              </w:numPr>
              <w:suppressAutoHyphens w:val="0"/>
              <w:spacing w:after="0" w:line="240" w:lineRule="auto"/>
              <w:jc w:val="both"/>
              <w:outlineLvl w:val="0"/>
              <w:rPr>
                <w:rFonts w:ascii="Arial" w:eastAsia="Times New Roman" w:hAnsi="Arial" w:cs="Arial"/>
                <w:lang w:eastAsia="hu-HU"/>
              </w:rPr>
            </w:pPr>
            <w:r>
              <w:rPr>
                <w:rFonts w:ascii="Arial" w:eastAsia="Times New Roman" w:hAnsi="Arial" w:cs="Arial"/>
                <w:lang w:eastAsia="hu-HU"/>
              </w:rPr>
              <w:t xml:space="preserve">az uniós szintű eredmények monitoringja és értékelése, </w:t>
            </w:r>
          </w:p>
          <w:p>
            <w:pPr>
              <w:numPr>
                <w:ilvl w:val="0"/>
                <w:numId w:val="11"/>
              </w:numPr>
              <w:suppressAutoHyphens w:val="0"/>
              <w:spacing w:after="0" w:line="240" w:lineRule="auto"/>
              <w:jc w:val="both"/>
              <w:outlineLvl w:val="0"/>
              <w:rPr>
                <w:rFonts w:ascii="Arial" w:eastAsia="Times New Roman" w:hAnsi="Arial" w:cs="Arial"/>
                <w:lang w:eastAsia="hu-HU"/>
              </w:rPr>
            </w:pPr>
            <w:r>
              <w:rPr>
                <w:rFonts w:ascii="Arial" w:eastAsia="Times New Roman" w:hAnsi="Arial" w:cs="Arial"/>
                <w:lang w:eastAsia="hu-HU"/>
              </w:rPr>
              <w:t>a közös indikátorok mentén történő tagállami jelentéstétel teljesíthetősége,</w:t>
            </w:r>
          </w:p>
          <w:p>
            <w:pPr>
              <w:numPr>
                <w:ilvl w:val="0"/>
                <w:numId w:val="11"/>
              </w:numPr>
              <w:suppressAutoHyphens w:val="0"/>
              <w:spacing w:after="0" w:line="240" w:lineRule="auto"/>
              <w:jc w:val="both"/>
              <w:outlineLvl w:val="0"/>
              <w:rPr>
                <w:rFonts w:ascii="Arial" w:eastAsia="Times New Roman" w:hAnsi="Arial" w:cs="Arial"/>
                <w:lang w:eastAsia="hu-HU"/>
              </w:rPr>
            </w:pPr>
            <w:r>
              <w:rPr>
                <w:rFonts w:ascii="Arial" w:eastAsia="Times New Roman" w:hAnsi="Arial" w:cs="Arial"/>
                <w:lang w:eastAsia="hu-HU"/>
              </w:rPr>
              <w:t>valamint a támogatások felhasználása ellenőrizhetőségének biztosítása</w:t>
            </w:r>
          </w:p>
          <w:p>
            <w:pPr>
              <w:spacing w:after="0" w:line="240" w:lineRule="auto"/>
              <w:jc w:val="both"/>
              <w:rPr>
                <w:rFonts w:ascii="Arial" w:eastAsia="Times New Roman" w:hAnsi="Arial" w:cs="Arial"/>
                <w:lang w:eastAsia="hu-HU"/>
              </w:rPr>
            </w:pPr>
            <w:r>
              <w:rPr>
                <w:rFonts w:ascii="Arial" w:eastAsia="Times New Roman" w:hAnsi="Arial" w:cs="Arial"/>
                <w:lang w:eastAsia="hu-HU"/>
              </w:rPr>
              <w:t xml:space="preserve"> érdekében kezeli az adatokat.</w:t>
            </w:r>
          </w:p>
        </w:tc>
      </w:tr>
      <w:tr>
        <w:tc>
          <w:tcPr>
            <w:tcW w:w="4498" w:type="dxa"/>
          </w:tcPr>
          <w:p>
            <w:pPr>
              <w:spacing w:after="0" w:line="240" w:lineRule="auto"/>
              <w:rPr>
                <w:rFonts w:ascii="Arial" w:eastAsia="Times New Roman" w:hAnsi="Arial" w:cs="Arial"/>
                <w:lang w:eastAsia="hu-HU"/>
              </w:rPr>
            </w:pPr>
            <w:r>
              <w:rPr>
                <w:rFonts w:ascii="Arial" w:eastAsia="Times New Roman" w:hAnsi="Arial" w:cs="Arial"/>
                <w:lang w:eastAsia="hu-HU"/>
              </w:rPr>
              <w:t>kormányhivatal</w:t>
            </w:r>
          </w:p>
        </w:tc>
        <w:tc>
          <w:tcPr>
            <w:tcW w:w="4606" w:type="dxa"/>
          </w:tcPr>
          <w:p>
            <w:pPr>
              <w:spacing w:after="0" w:line="240" w:lineRule="auto"/>
              <w:jc w:val="both"/>
              <w:rPr>
                <w:rFonts w:ascii="Arial" w:eastAsia="Times New Roman" w:hAnsi="Arial" w:cs="Arial"/>
                <w:lang w:eastAsia="hu-HU"/>
              </w:rPr>
            </w:pPr>
            <w:r>
              <w:rPr>
                <w:rFonts w:ascii="Arial" w:eastAsia="Times New Roman" w:hAnsi="Arial" w:cs="Arial"/>
                <w:lang w:eastAsia="hu-HU"/>
              </w:rPr>
              <w:t xml:space="preserve">Az ESZA/ESZA+ által finanszírozott intézkedésekben résztvevőkről </w:t>
            </w:r>
          </w:p>
          <w:p>
            <w:pPr>
              <w:numPr>
                <w:ilvl w:val="0"/>
                <w:numId w:val="11"/>
              </w:numPr>
              <w:suppressAutoHyphens w:val="0"/>
              <w:spacing w:after="0" w:line="240" w:lineRule="auto"/>
              <w:jc w:val="both"/>
              <w:outlineLvl w:val="0"/>
              <w:rPr>
                <w:rFonts w:ascii="Arial" w:eastAsia="Times New Roman" w:hAnsi="Arial" w:cs="Arial"/>
                <w:lang w:eastAsia="hu-HU"/>
              </w:rPr>
            </w:pPr>
            <w:r>
              <w:rPr>
                <w:rFonts w:ascii="Arial" w:eastAsia="Times New Roman" w:hAnsi="Arial" w:cs="Arial"/>
                <w:lang w:eastAsia="hu-HU"/>
              </w:rPr>
              <w:t xml:space="preserve">az adatok összesítése, </w:t>
            </w:r>
          </w:p>
          <w:p>
            <w:pPr>
              <w:numPr>
                <w:ilvl w:val="0"/>
                <w:numId w:val="11"/>
              </w:numPr>
              <w:suppressAutoHyphens w:val="0"/>
              <w:spacing w:after="0" w:line="240" w:lineRule="auto"/>
              <w:jc w:val="both"/>
              <w:outlineLvl w:val="0"/>
              <w:rPr>
                <w:rFonts w:ascii="Arial" w:eastAsia="Times New Roman" w:hAnsi="Arial" w:cs="Arial"/>
                <w:lang w:eastAsia="hu-HU"/>
              </w:rPr>
            </w:pPr>
            <w:r>
              <w:rPr>
                <w:rFonts w:ascii="Arial" w:eastAsia="Times New Roman" w:hAnsi="Arial" w:cs="Arial"/>
                <w:lang w:eastAsia="hu-HU"/>
              </w:rPr>
              <w:t xml:space="preserve">a járási hivatal európai uniós támogatással megvalósuló tevékenységeinek koordinálása érdekében </w:t>
            </w:r>
          </w:p>
          <w:p>
            <w:pPr>
              <w:spacing w:after="0" w:line="240" w:lineRule="auto"/>
              <w:rPr>
                <w:rFonts w:ascii="Arial" w:eastAsia="Times New Roman" w:hAnsi="Arial" w:cs="Arial"/>
                <w:lang w:eastAsia="hu-HU"/>
              </w:rPr>
            </w:pPr>
            <w:r>
              <w:rPr>
                <w:rFonts w:ascii="Arial" w:eastAsia="Times New Roman" w:hAnsi="Arial" w:cs="Arial"/>
                <w:lang w:eastAsia="hu-HU"/>
              </w:rPr>
              <w:t>közvetlenül hozzáfér az adatokhoz. A kormányhivatal az adatokat a feladatai ellátása során kezeli.</w:t>
            </w:r>
          </w:p>
        </w:tc>
      </w:tr>
      <w:tr>
        <w:tc>
          <w:tcPr>
            <w:tcW w:w="4498" w:type="dxa"/>
          </w:tcPr>
          <w:p>
            <w:pPr>
              <w:spacing w:after="0" w:line="240" w:lineRule="auto"/>
              <w:rPr>
                <w:rFonts w:ascii="Arial" w:eastAsia="Times New Roman" w:hAnsi="Arial" w:cs="Arial"/>
                <w:lang w:eastAsia="hu-HU"/>
              </w:rPr>
            </w:pPr>
            <w:r>
              <w:rPr>
                <w:rFonts w:ascii="Arial" w:eastAsia="Times New Roman" w:hAnsi="Arial" w:cs="Arial"/>
                <w:lang w:eastAsia="hu-HU"/>
              </w:rPr>
              <w:t>miniszter</w:t>
            </w:r>
          </w:p>
        </w:tc>
        <w:tc>
          <w:tcPr>
            <w:tcW w:w="4606" w:type="dxa"/>
          </w:tcPr>
          <w:p>
            <w:pPr>
              <w:spacing w:after="0" w:line="240" w:lineRule="auto"/>
              <w:jc w:val="both"/>
              <w:rPr>
                <w:rFonts w:ascii="Arial" w:eastAsia="Times New Roman" w:hAnsi="Arial" w:cs="Arial"/>
                <w:lang w:eastAsia="hu-HU"/>
              </w:rPr>
            </w:pPr>
            <w:r>
              <w:rPr>
                <w:rFonts w:ascii="Arial" w:eastAsia="Times New Roman" w:hAnsi="Arial" w:cs="Arial"/>
                <w:lang w:eastAsia="hu-HU"/>
              </w:rPr>
              <w:t xml:space="preserve">Az ESZA/ESZA+ által finanszírozott intézkedésekben résztvevőkről </w:t>
            </w:r>
          </w:p>
          <w:p>
            <w:pPr>
              <w:numPr>
                <w:ilvl w:val="0"/>
                <w:numId w:val="11"/>
              </w:numPr>
              <w:suppressAutoHyphens w:val="0"/>
              <w:spacing w:after="0" w:line="240" w:lineRule="auto"/>
              <w:jc w:val="both"/>
              <w:outlineLvl w:val="0"/>
              <w:rPr>
                <w:rFonts w:ascii="Arial" w:eastAsia="Times New Roman" w:hAnsi="Arial" w:cs="Arial"/>
                <w:lang w:eastAsia="hu-HU"/>
              </w:rPr>
            </w:pPr>
            <w:r>
              <w:rPr>
                <w:rFonts w:ascii="Arial" w:eastAsia="Times New Roman" w:hAnsi="Arial" w:cs="Arial"/>
                <w:lang w:eastAsia="hu-HU"/>
              </w:rPr>
              <w:t xml:space="preserve">az adatok összesítése, </w:t>
            </w:r>
          </w:p>
          <w:p>
            <w:pPr>
              <w:numPr>
                <w:ilvl w:val="0"/>
                <w:numId w:val="11"/>
              </w:numPr>
              <w:suppressAutoHyphens w:val="0"/>
              <w:spacing w:after="0" w:line="240" w:lineRule="auto"/>
              <w:jc w:val="both"/>
              <w:outlineLvl w:val="0"/>
              <w:rPr>
                <w:rFonts w:ascii="Arial" w:eastAsia="Times New Roman" w:hAnsi="Arial" w:cs="Arial"/>
                <w:lang w:eastAsia="hu-HU"/>
              </w:rPr>
            </w:pPr>
            <w:r>
              <w:rPr>
                <w:rFonts w:ascii="Arial" w:eastAsia="Times New Roman" w:hAnsi="Arial" w:cs="Arial"/>
                <w:lang w:eastAsia="hu-HU"/>
              </w:rPr>
              <w:t xml:space="preserve">a közös indikátorok előállítása, </w:t>
            </w:r>
          </w:p>
          <w:p>
            <w:pPr>
              <w:numPr>
                <w:ilvl w:val="0"/>
                <w:numId w:val="11"/>
              </w:numPr>
              <w:suppressAutoHyphens w:val="0"/>
              <w:spacing w:after="0" w:line="240" w:lineRule="auto"/>
              <w:jc w:val="both"/>
              <w:outlineLvl w:val="0"/>
              <w:rPr>
                <w:rFonts w:ascii="Arial" w:eastAsia="Times New Roman" w:hAnsi="Arial" w:cs="Arial"/>
                <w:lang w:eastAsia="hu-HU"/>
              </w:rPr>
            </w:pPr>
            <w:r>
              <w:rPr>
                <w:rFonts w:ascii="Arial" w:eastAsia="Times New Roman" w:hAnsi="Arial" w:cs="Arial"/>
                <w:lang w:eastAsia="hu-HU"/>
              </w:rPr>
              <w:t xml:space="preserve">a kormányhivatal európai uniós támogatással megvalósuló tevékenységeinek koordinálása érdekében </w:t>
            </w:r>
          </w:p>
          <w:p>
            <w:pPr>
              <w:spacing w:after="0" w:line="240" w:lineRule="auto"/>
              <w:jc w:val="both"/>
              <w:rPr>
                <w:rFonts w:ascii="Arial" w:eastAsia="Times New Roman" w:hAnsi="Arial" w:cs="Arial"/>
                <w:lang w:eastAsia="hu-HU"/>
              </w:rPr>
            </w:pPr>
            <w:r>
              <w:rPr>
                <w:rFonts w:ascii="Arial" w:eastAsia="Times New Roman" w:hAnsi="Arial" w:cs="Arial"/>
                <w:lang w:eastAsia="hu-HU"/>
              </w:rPr>
              <w:t xml:space="preserve">közvetlenül hozzáfér az adatokhoz. </w:t>
            </w:r>
          </w:p>
          <w:p>
            <w:pPr>
              <w:spacing w:after="0" w:line="240" w:lineRule="auto"/>
              <w:jc w:val="both"/>
              <w:rPr>
                <w:rFonts w:ascii="Arial" w:eastAsia="Times New Roman" w:hAnsi="Arial" w:cs="Arial"/>
                <w:lang w:eastAsia="hu-HU"/>
              </w:rPr>
            </w:pPr>
            <w:r>
              <w:rPr>
                <w:rFonts w:ascii="Arial" w:eastAsia="Times New Roman" w:hAnsi="Arial" w:cs="Arial"/>
                <w:lang w:eastAsia="hu-HU"/>
              </w:rPr>
              <w:t xml:space="preserve">A miniszter az adatokat a feladatai ellátása során kezeli. </w:t>
            </w:r>
          </w:p>
          <w:p>
            <w:pPr>
              <w:spacing w:after="0" w:line="240" w:lineRule="auto"/>
              <w:jc w:val="both"/>
              <w:rPr>
                <w:rFonts w:ascii="Arial" w:eastAsia="Times New Roman" w:hAnsi="Arial" w:cs="Arial"/>
                <w:lang w:eastAsia="hu-HU"/>
              </w:rPr>
            </w:pPr>
            <w:r>
              <w:rPr>
                <w:rFonts w:ascii="Arial" w:eastAsia="Times New Roman" w:hAnsi="Arial" w:cs="Arial"/>
                <w:lang w:eastAsia="hu-HU"/>
              </w:rPr>
              <w:t>A miniszter az Európai Unió pénzügyi alapjaiból és más külföldi alapokból támogatott egyes fejlesztési, foglalkoztatási, képzési és informatikai programok megvalósításának tervezése és szervezése, valamint ezen programok megvalósítása keretében történő támogatás folyósítása érdekében kezeli az adatokat.</w:t>
            </w:r>
          </w:p>
        </w:tc>
      </w:tr>
    </w:tbl>
    <w:p>
      <w:pPr>
        <w:suppressAutoHyphens w:val="0"/>
        <w:spacing w:after="0" w:line="240" w:lineRule="auto"/>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Az ESZA/ESZA+ finanszírozású programokra vonatkozóan az Európai Parlament és a Tanács 2013. december 17-i 1304/2013/EU rendeletének (a továbbiakban: 1304/2013/EU európai parlamenti és tanácsi rendelet) és Európai Parlament és a Tanács 2021. június 24-i (EU) 2021/1058 rendeletének az Európai Regionális Fejlesztési Alapról és a Kohéziós Alapról (továbbiakban: 2021/1058 európai parlamenti és tanácsi rendelet)  I. és II. melléklete ún. közös indikátorok előállítását írja elő, amelyhez szükséges a résztvevők személyes és különleges (a továbbiakban: egyéni) adatainak gyűjtése.</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 xml:space="preserve">A közös eredménymutatók előállítása révén az ESZA/ESZA+ programok és REACT-EU (ESZA) eredményei uniós szinten összesíthetőek, illetve összehasonlíthatóak lesznek. Az Ön adatai az eredménymutatók előállításához szükségesek. Az Ön számára nem kötelező a jelen tájékoztató 6. pontjában szereplő g) alpont gc)-ge), gg) és gh) pontjaiban meghatározott adatok megadása, de azzal nagyban segíti a munkánkat és az uniós támogatással megvalósuló programok hatékonyságát. </w:t>
      </w:r>
    </w:p>
    <w:p>
      <w:pPr>
        <w:suppressAutoHyphens w:val="0"/>
        <w:spacing w:after="0" w:line="240" w:lineRule="auto"/>
        <w:rPr>
          <w:rFonts w:ascii="Arial" w:eastAsia="Times New Roman" w:hAnsi="Arial" w:cs="Arial"/>
          <w:sz w:val="20"/>
          <w:szCs w:val="20"/>
          <w:lang w:eastAsia="hu-HU"/>
        </w:rPr>
      </w:pPr>
    </w:p>
    <w:p>
      <w:pPr>
        <w:numPr>
          <w:ilvl w:val="0"/>
          <w:numId w:val="9"/>
        </w:numPr>
        <w:suppressAutoHyphens w:val="0"/>
        <w:spacing w:after="0" w:line="240" w:lineRule="auto"/>
        <w:ind w:left="284" w:hanging="284"/>
        <w:outlineLvl w:val="0"/>
        <w:rPr>
          <w:rFonts w:ascii="Arial" w:eastAsia="Times New Roman" w:hAnsi="Arial" w:cs="Arial"/>
          <w:b/>
          <w:sz w:val="20"/>
          <w:szCs w:val="20"/>
          <w:lang w:eastAsia="hu-HU"/>
        </w:rPr>
      </w:pPr>
      <w:r>
        <w:rPr>
          <w:rFonts w:ascii="Arial" w:eastAsia="Times New Roman" w:hAnsi="Arial" w:cs="Arial"/>
          <w:b/>
          <w:sz w:val="20"/>
          <w:szCs w:val="20"/>
          <w:lang w:eastAsia="hu-HU"/>
        </w:rPr>
        <w:t xml:space="preserve"> Az adatkezelés jogalapja </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 xml:space="preserve">A GDPR 6. cikk (1) bekezdés a) pontja, az érintett hozzájárulása, valamint e) pontja, közérdekű feladat végrehajtása, míg a különleges személyes adatok tekintetében a 9. cikk (2) bekezdés a) és f) pontja. </w:t>
      </w:r>
    </w:p>
    <w:p>
      <w:pPr>
        <w:suppressAutoHyphens w:val="0"/>
        <w:spacing w:after="0" w:line="240" w:lineRule="auto"/>
        <w:rPr>
          <w:rFonts w:ascii="Arial" w:eastAsia="Times New Roman" w:hAnsi="Arial" w:cs="Arial"/>
          <w:sz w:val="20"/>
          <w:szCs w:val="20"/>
          <w:lang w:eastAsia="hu-HU"/>
        </w:rPr>
      </w:pPr>
    </w:p>
    <w:p>
      <w:pPr>
        <w:numPr>
          <w:ilvl w:val="0"/>
          <w:numId w:val="9"/>
        </w:numPr>
        <w:suppressAutoHyphens w:val="0"/>
        <w:spacing w:after="0" w:line="240" w:lineRule="auto"/>
        <w:ind w:left="284" w:hanging="284"/>
        <w:outlineLvl w:val="0"/>
        <w:rPr>
          <w:rFonts w:ascii="Arial" w:eastAsia="Times New Roman" w:hAnsi="Arial" w:cs="Arial"/>
          <w:b/>
          <w:sz w:val="20"/>
          <w:szCs w:val="20"/>
          <w:lang w:eastAsia="hu-HU"/>
        </w:rPr>
      </w:pPr>
      <w:r>
        <w:rPr>
          <w:rFonts w:ascii="Arial" w:eastAsia="Times New Roman" w:hAnsi="Arial" w:cs="Arial"/>
          <w:b/>
          <w:sz w:val="20"/>
          <w:szCs w:val="20"/>
          <w:lang w:eastAsia="hu-HU"/>
        </w:rPr>
        <w:t>A kezelt személyes adatok köre:</w:t>
      </w:r>
    </w:p>
    <w:p>
      <w:pPr>
        <w:suppressAutoHyphens w:val="0"/>
        <w:autoSpaceDE w:val="0"/>
        <w:autoSpaceDN w:val="0"/>
        <w:adjustRightInd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Az állami foglalkoztatási szerv, mint adatkezelő az ESZA/ESZA+ által finanszírozott intézkedésekben résztvevő személyekről a fentebb meghatározott adatkezelési célból az alábbi adatokat kezeli:</w:t>
      </w:r>
    </w:p>
    <w:p>
      <w:pPr>
        <w:suppressAutoHyphens w:val="0"/>
        <w:autoSpaceDE w:val="0"/>
        <w:autoSpaceDN w:val="0"/>
        <w:adjustRightInd w:val="0"/>
        <w:spacing w:after="0" w:line="240" w:lineRule="auto"/>
        <w:ind w:left="204"/>
        <w:jc w:val="both"/>
        <w:rPr>
          <w:rFonts w:ascii="Arial" w:eastAsia="Times New Roman" w:hAnsi="Arial" w:cs="Arial"/>
          <w:sz w:val="20"/>
          <w:szCs w:val="20"/>
          <w:lang w:eastAsia="hu-HU"/>
        </w:rPr>
      </w:pPr>
      <w:r>
        <w:rPr>
          <w:rFonts w:ascii="Arial" w:eastAsia="Times New Roman" w:hAnsi="Arial" w:cs="Arial"/>
          <w:i/>
          <w:iCs/>
          <w:sz w:val="20"/>
          <w:szCs w:val="20"/>
          <w:lang w:eastAsia="hu-HU"/>
        </w:rPr>
        <w:lastRenderedPageBreak/>
        <w:t xml:space="preserve">a) </w:t>
      </w:r>
      <w:r>
        <w:rPr>
          <w:rFonts w:ascii="Arial" w:eastAsia="Times New Roman" w:hAnsi="Arial" w:cs="Arial"/>
          <w:sz w:val="20"/>
          <w:szCs w:val="20"/>
          <w:lang w:eastAsia="hu-HU"/>
        </w:rPr>
        <w:t>a természetes személyazonosító adatokat (családi- és utónév, születési családi- és utónév, születési hely, születési idő, anyja születési családi- és utóneve),</w:t>
      </w:r>
    </w:p>
    <w:p>
      <w:pPr>
        <w:suppressAutoHyphens w:val="0"/>
        <w:autoSpaceDE w:val="0"/>
        <w:autoSpaceDN w:val="0"/>
        <w:adjustRightInd w:val="0"/>
        <w:spacing w:after="0" w:line="240" w:lineRule="auto"/>
        <w:ind w:left="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b) </w:t>
      </w:r>
      <w:r>
        <w:rPr>
          <w:rFonts w:ascii="Arial" w:eastAsia="Times New Roman" w:hAnsi="Arial" w:cs="Arial"/>
          <w:sz w:val="20"/>
          <w:szCs w:val="20"/>
          <w:lang w:eastAsia="hu-HU"/>
        </w:rPr>
        <w:t>az állampolgárságot, valamint a bevándorolt, a letelepedett vagy a menekültstátuszt,</w:t>
      </w:r>
    </w:p>
    <w:p>
      <w:pPr>
        <w:suppressAutoHyphens w:val="0"/>
        <w:autoSpaceDE w:val="0"/>
        <w:autoSpaceDN w:val="0"/>
        <w:adjustRightInd w:val="0"/>
        <w:spacing w:after="0" w:line="240" w:lineRule="auto"/>
        <w:ind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c) </w:t>
      </w:r>
      <w:r>
        <w:rPr>
          <w:rFonts w:ascii="Arial" w:eastAsia="Times New Roman" w:hAnsi="Arial" w:cs="Arial"/>
          <w:sz w:val="20"/>
          <w:szCs w:val="20"/>
          <w:lang w:eastAsia="hu-HU"/>
        </w:rPr>
        <w:t>a belföldi lakó- vagy tartózkodási helyet,</w:t>
      </w:r>
    </w:p>
    <w:p>
      <w:pPr>
        <w:suppressAutoHyphens w:val="0"/>
        <w:autoSpaceDE w:val="0"/>
        <w:autoSpaceDN w:val="0"/>
        <w:adjustRightInd w:val="0"/>
        <w:spacing w:after="0" w:line="240" w:lineRule="auto"/>
        <w:ind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d) </w:t>
      </w:r>
      <w:r>
        <w:rPr>
          <w:rFonts w:ascii="Arial" w:eastAsia="Times New Roman" w:hAnsi="Arial" w:cs="Arial"/>
          <w:sz w:val="20"/>
          <w:szCs w:val="20"/>
          <w:lang w:eastAsia="hu-HU"/>
        </w:rPr>
        <w:t xml:space="preserve">az iskolai végzettséget, </w:t>
      </w:r>
    </w:p>
    <w:p>
      <w:pPr>
        <w:suppressAutoHyphens w:val="0"/>
        <w:autoSpaceDE w:val="0"/>
        <w:autoSpaceDN w:val="0"/>
        <w:adjustRightInd w:val="0"/>
        <w:spacing w:after="0" w:line="240" w:lineRule="auto"/>
        <w:ind w:firstLine="204"/>
        <w:jc w:val="both"/>
        <w:rPr>
          <w:rFonts w:ascii="Arial" w:eastAsia="Times New Roman" w:hAnsi="Arial" w:cs="Arial"/>
          <w:i/>
          <w:iCs/>
          <w:sz w:val="20"/>
          <w:szCs w:val="20"/>
          <w:lang w:eastAsia="hu-HU"/>
        </w:rPr>
      </w:pPr>
      <w:r>
        <w:rPr>
          <w:rFonts w:ascii="Arial" w:eastAsia="Times New Roman" w:hAnsi="Arial" w:cs="Arial"/>
          <w:i/>
          <w:iCs/>
          <w:sz w:val="20"/>
          <w:szCs w:val="20"/>
          <w:lang w:eastAsia="hu-HU"/>
        </w:rPr>
        <w:t xml:space="preserve">e) </w:t>
      </w:r>
      <w:r>
        <w:rPr>
          <w:rFonts w:ascii="Arial" w:eastAsia="Times New Roman" w:hAnsi="Arial" w:cs="Arial"/>
          <w:sz w:val="20"/>
          <w:szCs w:val="20"/>
          <w:lang w:eastAsia="hu-HU"/>
        </w:rPr>
        <w:t>szakképesítést,</w:t>
      </w:r>
    </w:p>
    <w:p>
      <w:pPr>
        <w:suppressAutoHyphens w:val="0"/>
        <w:autoSpaceDE w:val="0"/>
        <w:autoSpaceDN w:val="0"/>
        <w:adjustRightInd w:val="0"/>
        <w:spacing w:after="0" w:line="240" w:lineRule="auto"/>
        <w:ind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f) </w:t>
      </w:r>
      <w:r>
        <w:rPr>
          <w:rFonts w:ascii="Arial" w:eastAsia="Times New Roman" w:hAnsi="Arial" w:cs="Arial"/>
          <w:sz w:val="20"/>
          <w:szCs w:val="20"/>
          <w:lang w:eastAsia="hu-HU"/>
        </w:rPr>
        <w:t>TAJ számot,</w:t>
      </w:r>
    </w:p>
    <w:p>
      <w:pPr>
        <w:suppressAutoHyphens w:val="0"/>
        <w:autoSpaceDE w:val="0"/>
        <w:autoSpaceDN w:val="0"/>
        <w:adjustRightInd w:val="0"/>
        <w:spacing w:after="0" w:line="240" w:lineRule="auto"/>
        <w:ind w:left="204"/>
        <w:jc w:val="both"/>
        <w:rPr>
          <w:rFonts w:ascii="Arial" w:eastAsia="Times New Roman" w:hAnsi="Arial" w:cs="Arial"/>
          <w:i/>
          <w:iCs/>
          <w:sz w:val="20"/>
          <w:szCs w:val="20"/>
          <w:lang w:eastAsia="hu-HU"/>
        </w:rPr>
      </w:pPr>
      <w:r>
        <w:rPr>
          <w:rFonts w:ascii="Arial" w:eastAsia="Times New Roman" w:hAnsi="Arial" w:cs="Arial"/>
          <w:i/>
          <w:iCs/>
          <w:sz w:val="20"/>
          <w:szCs w:val="20"/>
          <w:lang w:eastAsia="hu-HU"/>
        </w:rPr>
        <w:t xml:space="preserve">g) </w:t>
      </w:r>
      <w:r>
        <w:rPr>
          <w:rFonts w:ascii="Arial" w:eastAsia="Times New Roman" w:hAnsi="Arial" w:cs="Arial"/>
          <w:iCs/>
          <w:sz w:val="20"/>
          <w:szCs w:val="20"/>
          <w:lang w:eastAsia="hu-HU"/>
        </w:rPr>
        <w:t>az intézkedésbe történő belépésekor a munkaerőpiaci, társadalmi helyzetével összefüggő következő adatokat:</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ga) </w:t>
      </w:r>
      <w:r>
        <w:rPr>
          <w:rFonts w:ascii="Arial" w:eastAsia="Times New Roman" w:hAnsi="Arial" w:cs="Arial"/>
          <w:sz w:val="20"/>
          <w:szCs w:val="20"/>
          <w:lang w:eastAsia="hu-HU"/>
        </w:rPr>
        <w:t>az intézkedésbe történő belépés dátumát,</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gb) </w:t>
      </w:r>
      <w:r>
        <w:rPr>
          <w:rFonts w:ascii="Arial" w:eastAsia="Times New Roman" w:hAnsi="Arial" w:cs="Arial"/>
          <w:sz w:val="20"/>
          <w:szCs w:val="20"/>
          <w:lang w:eastAsia="hu-HU"/>
        </w:rPr>
        <w:t>munkaerőpiaci státuszát,</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gc) </w:t>
      </w:r>
      <w:r>
        <w:rPr>
          <w:rFonts w:ascii="Arial" w:eastAsia="Times New Roman" w:hAnsi="Arial" w:cs="Arial"/>
          <w:sz w:val="20"/>
          <w:szCs w:val="20"/>
          <w:lang w:eastAsia="hu-HU"/>
        </w:rPr>
        <w:t>annak tényét, hogy megváltozott munkaképességűnek minősül-e,</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gd) </w:t>
      </w:r>
      <w:r>
        <w:rPr>
          <w:rFonts w:ascii="Arial" w:eastAsia="Times New Roman" w:hAnsi="Arial" w:cs="Arial"/>
          <w:sz w:val="20"/>
          <w:szCs w:val="20"/>
          <w:lang w:eastAsia="hu-HU"/>
        </w:rPr>
        <w:t xml:space="preserve">annak tényét, hogy a </w:t>
      </w:r>
      <w:r>
        <w:rPr>
          <w:rFonts w:ascii="Arial" w:eastAsia="Times New Roman" w:hAnsi="Arial" w:cs="Arial"/>
          <w:i/>
          <w:iCs/>
          <w:sz w:val="20"/>
          <w:szCs w:val="20"/>
          <w:lang w:eastAsia="hu-HU"/>
        </w:rPr>
        <w:t xml:space="preserve">gc) </w:t>
      </w:r>
      <w:r>
        <w:rPr>
          <w:rFonts w:ascii="Arial" w:eastAsia="Times New Roman" w:hAnsi="Arial" w:cs="Arial"/>
          <w:sz w:val="20"/>
          <w:szCs w:val="20"/>
          <w:lang w:eastAsia="hu-HU"/>
        </w:rPr>
        <w:t>alponton belül fogyatékossággal élőnek minősül-e,</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ge) </w:t>
      </w:r>
      <w:r>
        <w:rPr>
          <w:rFonts w:ascii="Arial" w:eastAsia="Times New Roman" w:hAnsi="Arial" w:cs="Arial"/>
          <w:sz w:val="20"/>
          <w:szCs w:val="20"/>
          <w:lang w:eastAsia="hu-HU"/>
        </w:rPr>
        <w:t>a résztvevő nemzetiségének megjelölését,</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gf) </w:t>
      </w:r>
      <w:r>
        <w:rPr>
          <w:rFonts w:ascii="Arial" w:eastAsia="Times New Roman" w:hAnsi="Arial" w:cs="Arial"/>
          <w:sz w:val="20"/>
          <w:szCs w:val="20"/>
          <w:lang w:eastAsia="hu-HU"/>
        </w:rPr>
        <w:t>annak tényét, hogy tartós munkanélkülinek minősül-e,</w:t>
      </w:r>
    </w:p>
    <w:p>
      <w:pPr>
        <w:suppressAutoHyphens w:val="0"/>
        <w:autoSpaceDE w:val="0"/>
        <w:autoSpaceDN w:val="0"/>
        <w:adjustRightInd w:val="0"/>
        <w:spacing w:after="0" w:line="240" w:lineRule="auto"/>
        <w:ind w:left="408"/>
        <w:jc w:val="both"/>
        <w:rPr>
          <w:rFonts w:ascii="Arial" w:eastAsia="Times New Roman" w:hAnsi="Arial" w:cs="Arial"/>
          <w:iCs/>
          <w:sz w:val="20"/>
          <w:szCs w:val="20"/>
          <w:lang w:eastAsia="hu-HU"/>
        </w:rPr>
      </w:pPr>
      <w:r>
        <w:rPr>
          <w:rFonts w:ascii="Arial" w:eastAsia="Times New Roman" w:hAnsi="Arial" w:cs="Arial"/>
          <w:i/>
          <w:iCs/>
          <w:sz w:val="20"/>
          <w:szCs w:val="20"/>
          <w:lang w:eastAsia="hu-HU"/>
        </w:rPr>
        <w:t xml:space="preserve">gg) </w:t>
      </w:r>
      <w:r>
        <w:rPr>
          <w:rFonts w:ascii="Arial" w:eastAsia="Times New Roman" w:hAnsi="Arial" w:cs="Arial"/>
          <w:iCs/>
          <w:sz w:val="20"/>
          <w:szCs w:val="20"/>
          <w:lang w:eastAsia="hu-HU"/>
        </w:rPr>
        <w:t>annak tényét, hogy egyéb, a támogatásnyújtásnál figyelembe vett szempontból hátrányos helyzetűnek minősül-e,</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gh) </w:t>
      </w:r>
      <w:r>
        <w:rPr>
          <w:rFonts w:ascii="Arial" w:eastAsia="Times New Roman" w:hAnsi="Arial" w:cs="Arial"/>
          <w:sz w:val="20"/>
          <w:szCs w:val="20"/>
          <w:lang w:eastAsia="hu-HU"/>
        </w:rPr>
        <w:t>annak tényét, hogy hajléktalan-e.</w:t>
      </w:r>
    </w:p>
    <w:p>
      <w:pPr>
        <w:suppressAutoHyphens w:val="0"/>
        <w:autoSpaceDE w:val="0"/>
        <w:autoSpaceDN w:val="0"/>
        <w:adjustRightInd w:val="0"/>
        <w:spacing w:after="0" w:line="240" w:lineRule="auto"/>
        <w:ind w:left="204"/>
        <w:jc w:val="both"/>
        <w:rPr>
          <w:rFonts w:ascii="Arial" w:eastAsia="Times New Roman" w:hAnsi="Arial" w:cs="Arial"/>
          <w:iCs/>
          <w:sz w:val="20"/>
          <w:szCs w:val="20"/>
          <w:lang w:eastAsia="hu-HU"/>
        </w:rPr>
      </w:pPr>
      <w:r>
        <w:rPr>
          <w:rFonts w:ascii="Arial" w:eastAsia="Times New Roman" w:hAnsi="Arial" w:cs="Arial"/>
          <w:i/>
          <w:iCs/>
          <w:sz w:val="20"/>
          <w:szCs w:val="20"/>
          <w:lang w:eastAsia="hu-HU"/>
        </w:rPr>
        <w:t xml:space="preserve">h) </w:t>
      </w:r>
      <w:r>
        <w:rPr>
          <w:rFonts w:ascii="Arial" w:eastAsia="Times New Roman" w:hAnsi="Arial" w:cs="Arial"/>
          <w:iCs/>
          <w:sz w:val="20"/>
          <w:szCs w:val="20"/>
          <w:lang w:eastAsia="hu-HU"/>
        </w:rPr>
        <w:t>az intézkedésből történő kilépésekor a munkaerőpiaci helyzetével összefüggő következő adatokat:</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ha) </w:t>
      </w:r>
      <w:r>
        <w:rPr>
          <w:rFonts w:ascii="Arial" w:eastAsia="Times New Roman" w:hAnsi="Arial" w:cs="Arial"/>
          <w:sz w:val="20"/>
          <w:szCs w:val="20"/>
          <w:lang w:eastAsia="hu-HU"/>
        </w:rPr>
        <w:t>az intézkedésből történő kilépés dátuma,</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hb) </w:t>
      </w:r>
      <w:r>
        <w:rPr>
          <w:rFonts w:ascii="Arial" w:eastAsia="Times New Roman" w:hAnsi="Arial" w:cs="Arial"/>
          <w:sz w:val="20"/>
          <w:szCs w:val="20"/>
          <w:lang w:eastAsia="hu-HU"/>
        </w:rPr>
        <w:t>a résztvevő munkaerőpiaci státuszát,</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hc) </w:t>
      </w:r>
      <w:r>
        <w:rPr>
          <w:rFonts w:ascii="Arial" w:eastAsia="Times New Roman" w:hAnsi="Arial" w:cs="Arial"/>
          <w:sz w:val="20"/>
          <w:szCs w:val="20"/>
          <w:lang w:eastAsia="hu-HU"/>
        </w:rPr>
        <w:t>annak tényét, hogy álláskeresési tevékenységet folytat-e,</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hd) </w:t>
      </w:r>
      <w:r>
        <w:rPr>
          <w:rFonts w:ascii="Arial" w:eastAsia="Times New Roman" w:hAnsi="Arial" w:cs="Arial"/>
          <w:sz w:val="20"/>
          <w:szCs w:val="20"/>
          <w:lang w:eastAsia="hu-HU"/>
        </w:rPr>
        <w:t>annak tényét, hogy oktatásban vagy szakképzésben részt vesz-e,</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he) </w:t>
      </w:r>
      <w:r>
        <w:rPr>
          <w:rFonts w:ascii="Arial" w:eastAsia="Times New Roman" w:hAnsi="Arial" w:cs="Arial"/>
          <w:sz w:val="20"/>
          <w:szCs w:val="20"/>
          <w:lang w:eastAsia="hu-HU"/>
        </w:rPr>
        <w:t>annak tényét, hogy az intézkedés keretében képzettséget szerzett-e,</w:t>
      </w:r>
    </w:p>
    <w:p>
      <w:pPr>
        <w:suppressAutoHyphens w:val="0"/>
        <w:autoSpaceDE w:val="0"/>
        <w:autoSpaceDN w:val="0"/>
        <w:adjustRightInd w:val="0"/>
        <w:spacing w:after="0" w:line="240" w:lineRule="auto"/>
        <w:ind w:left="408"/>
        <w:jc w:val="both"/>
        <w:rPr>
          <w:rFonts w:ascii="Arial" w:eastAsia="Times New Roman" w:hAnsi="Arial" w:cs="Arial"/>
          <w:iCs/>
          <w:sz w:val="20"/>
          <w:szCs w:val="20"/>
          <w:lang w:eastAsia="hu-HU"/>
        </w:rPr>
      </w:pPr>
      <w:r>
        <w:rPr>
          <w:rFonts w:ascii="Arial" w:eastAsia="Times New Roman" w:hAnsi="Arial" w:cs="Arial"/>
          <w:i/>
          <w:iCs/>
          <w:sz w:val="20"/>
          <w:szCs w:val="20"/>
          <w:lang w:eastAsia="hu-HU"/>
        </w:rPr>
        <w:t xml:space="preserve">hf) </w:t>
      </w:r>
      <w:r>
        <w:rPr>
          <w:rFonts w:ascii="Arial" w:eastAsia="Times New Roman" w:hAnsi="Arial" w:cs="Arial"/>
          <w:iCs/>
          <w:sz w:val="20"/>
          <w:szCs w:val="20"/>
          <w:lang w:eastAsia="hu-HU"/>
        </w:rPr>
        <w:t>annak tényét, milyen szolgáltatásban, illetve támogatásban részesült a program keretében.</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b/>
          <w:sz w:val="20"/>
          <w:szCs w:val="20"/>
          <w:lang w:eastAsia="hu-HU"/>
        </w:rPr>
        <w:t>6</w:t>
      </w:r>
      <w:r>
        <w:rPr>
          <w:rFonts w:ascii="Arial" w:eastAsia="Times New Roman" w:hAnsi="Arial" w:cs="Arial"/>
          <w:sz w:val="20"/>
          <w:szCs w:val="20"/>
          <w:lang w:eastAsia="hu-HU"/>
        </w:rPr>
        <w:t xml:space="preserve">. </w:t>
      </w:r>
      <w:r>
        <w:rPr>
          <w:rFonts w:ascii="Arial" w:eastAsia="Times New Roman" w:hAnsi="Arial" w:cs="Arial"/>
          <w:b/>
          <w:sz w:val="20"/>
          <w:szCs w:val="20"/>
          <w:lang w:eastAsia="hu-HU"/>
        </w:rPr>
        <w:t>Automatizált döntéshozatal és profilalkotás, személyes adatok továbbítása harmadik országba, vagy nemzetközi szervezethez vagy egyéb Magyarországon található szervezethez, illetőleg a személyes adatok címzettjei, a címzettek kategóriá</w:t>
      </w:r>
      <w:r>
        <w:rPr>
          <w:rFonts w:ascii="Arial" w:eastAsia="Times New Roman" w:hAnsi="Arial" w:cs="Arial"/>
          <w:sz w:val="20"/>
          <w:szCs w:val="20"/>
          <w:lang w:eastAsia="hu-HU"/>
        </w:rPr>
        <w:t>i</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Egyik adatkezelés során sem történik automatizált döntéshozatal és profilalkotás, illetőleg a személyes adatok továbbítása harmadik országba vagy nemzetközi szervezethez.</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 xml:space="preserve">7. Az adatkezelés időtartama </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Önt a program elkezdésekor és befejezésekor kérjük a kérdőívek kitöltésére. Az adatokat mindaddig megőrizzük, amíg a projekt egyéb dokumentumait is. A megőrzési idő a foglalkoztatás elősegítéséről és a munkanélküliek ellátásáról szóló 1991. évi IV. törvény (továbbiakban: Flt.) 57/D.§ (5) bekezdése alapján az Európai Szociális Alapnak a 2014–2020 közötti európai uniós költségvetési időszakban rendelkezésre álló forrásaira vonatkozó elszámolhatósági időszak lezárását követő öt év, a 2021-2027 programozási időszakban az egyes európai uniós alapokból származó támogatások felhasználásának rendjéről szóló 256/2021. (V. 18.) Korm. rendelet 346.§-a alapján a megőrzési idő a projektmegvalósítás befejezésétől számított öt év. (Az időszak végén zajló projekteknél a megőrzési idő kitolódhat.)</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8. Az ön jogai az adatkezeléssel kapcsolatban</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8.1. Hozzáférési jog</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Ön jogosult arra, hogy visszajelzést kapjon arra vonatkozóan, hogy személyes adatainak kezelése folyamatban van-e, és ha adatkezelés folyamatban van, jogosult arra, hogy a kezelt személyes adatokhoz hozzáférést kapjon és a személyes adatok kezelésével kapcsolatban részletes tájékoztatást kapjon.</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 </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8.2. Helyesbítéshez való joghoz</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Ön jogosult arra, hogy kérelmezze az Önre vonatkozó pontatlan személyes adatok helyesbítését, és hogy az Ön személyes adatainak helyesbítését indokolatlan késedelem nélkül megtegyük.</w:t>
      </w:r>
    </w:p>
    <w:p>
      <w:pPr>
        <w:suppressAutoHyphens w:val="0"/>
        <w:spacing w:after="0" w:line="240" w:lineRule="auto"/>
        <w:jc w:val="both"/>
        <w:rPr>
          <w:rFonts w:ascii="Arial" w:eastAsia="Times New Roman" w:hAnsi="Arial" w:cs="Arial"/>
          <w:b/>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 xml:space="preserve"> 8.3. Az adatkezelés korlátozásához való jog </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Ön jogosult arra, hogy kérelmezze az Ön személyes adatainak kezelésének korlátozását, abban az esetben, ha az alábbi tényezők valamelyike fennáll:</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Ön vitatja a személyes adatok pontosságát, ez esetben a korlátozás arra az időtartamra vonatkozik, amely lehetővé teszi, hogy ellenőrizzük az Ön személyes adatainak pontosságát;</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lastRenderedPageBreak/>
        <w:t>az adatkezelés jogellenes, és Ön ellenzi az adatok törlését, és e helyett kéri azok felhasználásának korlátozását;</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már nincs szükségünk a személyes adatokra adatkezelés céljából, de Ön igényli azokat jogi igények előterjesztéséhez, érvényesítéséhez vagy védelméhez; vagy</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Ön tiltakozott az adatkezelés ellen; ez esetben a korlátozás arra az időtartamra vonatkozik, amíg megállapításra nem kerül, hogy jogos indokaink elsőbbséget élveznek-e az Ön jogos indokaival szemben.</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 xml:space="preserve">Ha az adatkezelés korlátozás alá esik, az ilyen személyes adatokat a tárolás kivételével csak az Ön hozzájárulásával, vagy jogi igények előterjesztéséhez, érvényesítéséhez vagy védelméhez, vagy más természetes vagy jogi személy jogainak védelme érdekében, vagy az Unió, illetve valamely tagállam fontos közérdekéből lehet kezelni. </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 xml:space="preserve">Az adatkezelés korlátozásának feloldásáról előzetesen (legalább a korlátozás feloldását megelőző 3 munkanappal) tájékoztatjuk Önt. </w:t>
      </w:r>
    </w:p>
    <w:p>
      <w:pPr>
        <w:suppressAutoHyphens w:val="0"/>
        <w:spacing w:after="0" w:line="240" w:lineRule="auto"/>
        <w:jc w:val="both"/>
        <w:rPr>
          <w:rFonts w:ascii="Arial" w:eastAsia="Times New Roman" w:hAnsi="Arial" w:cs="Arial"/>
          <w:b/>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8.4. Törléshez való jog</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Ön kezdeményezheti személyes adatainak az adatkezelő általi törlését, amennyiben:</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 xml:space="preserve">az adatkezelés célja már nem áll fenn és továbbiakban nincs szükség az adott adatok kezelésére, </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 xml:space="preserve">Ön a visszavonás jogával élt és az adatkezelésnek nincs más jogalapja, </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 xml:space="preserve">Ön a tiltakozás jogával élt az adott adatok tekintetében és az adatkezelésnek nincs más elsőbbséget élvező jogszerű oka, </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 xml:space="preserve">adatainak kezelése jogellenes, </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 xml:space="preserve">adatait valamely jogszabály előírásának teljesítéséhez törölni szükséges. </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Ilyen esetben az adatkezelő megvizsgálja kérelmét és amennyiben az adatok törlése lehetséges, nemcsak saját nyilvántartásaiban törli adatait, hanem kérését továbbítja azon személyek, szervezetek felé, akikkel az adatokat közölte, és amelyek ésszerű, elvárható módon számára elérhetők.</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8.5. A tiltakozáshoz való jog</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Ön jogosult arra, hogy a saját helyzetével kapcsolatos okokból bármikor tiltakozzon személyes adatainak az EU Általános Adatvédelmi rendelet (GDPR) 6. cikk (1) bekezdésének e) pontja szerinti közérdekű feladat végrehajtásán vagy f) pontja szerinti jogos érdeken alapuló kezelése ellen. Ebben az esetben az adatkezelő a személyes adatokat nem kezelheti tovább, kivéve, ha az adatkezelő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8.6. Adathordozhatósághoz való jog</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Az érintett jogosult arra, hogy a rá vonatkozó, általa egy adatkezelő rendelkezésére bocsátott személyes adatokat tagolt, széles körben használt, géppel olvasható formátumban megkapja, továbbá jogosult arra, hogy ezeket az adatokat egy másik adatkezelőnek továbbítsa anélkül, hogy ezt akadályozná az az adatkezelő, amelynek a személyes adatokat a rendelkezésére bocsátotta, ha:</w:t>
      </w:r>
    </w:p>
    <w:p>
      <w:pPr>
        <w:numPr>
          <w:ilvl w:val="0"/>
          <w:numId w:val="10"/>
        </w:numPr>
        <w:suppressAutoHyphens w:val="0"/>
        <w:spacing w:after="0" w:line="240" w:lineRule="auto"/>
        <w:jc w:val="both"/>
        <w:outlineLvl w:val="0"/>
        <w:rPr>
          <w:rFonts w:ascii="Arial" w:eastAsia="Times New Roman" w:hAnsi="Arial" w:cs="Arial"/>
          <w:b/>
          <w:sz w:val="20"/>
          <w:szCs w:val="20"/>
          <w:lang w:eastAsia="hu-HU"/>
        </w:rPr>
      </w:pPr>
      <w:r>
        <w:rPr>
          <w:rFonts w:ascii="Arial" w:eastAsia="Times New Roman" w:hAnsi="Arial" w:cs="Arial"/>
          <w:sz w:val="20"/>
          <w:szCs w:val="20"/>
          <w:lang w:eastAsia="hu-HU"/>
        </w:rPr>
        <w:t xml:space="preserve"> ha az adatkezelés jogalapja az Érintett hozzájárulása, vagy az Érintettel kötött szerződés teljesítése</w:t>
      </w:r>
    </w:p>
    <w:p>
      <w:pPr>
        <w:numPr>
          <w:ilvl w:val="0"/>
          <w:numId w:val="10"/>
        </w:numPr>
        <w:suppressAutoHyphens w:val="0"/>
        <w:spacing w:after="0" w:line="240" w:lineRule="auto"/>
        <w:jc w:val="both"/>
        <w:outlineLvl w:val="0"/>
        <w:rPr>
          <w:rFonts w:ascii="Arial" w:eastAsia="Times New Roman" w:hAnsi="Arial" w:cs="Arial"/>
          <w:b/>
          <w:sz w:val="20"/>
          <w:szCs w:val="20"/>
          <w:lang w:eastAsia="hu-HU"/>
        </w:rPr>
      </w:pPr>
      <w:r>
        <w:rPr>
          <w:rFonts w:ascii="Arial" w:eastAsia="Times New Roman" w:hAnsi="Arial" w:cs="Arial"/>
          <w:sz w:val="20"/>
          <w:szCs w:val="20"/>
          <w:lang w:eastAsia="hu-HU"/>
        </w:rPr>
        <w:t>és az adatkezelés automatizált módon történik.</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Az adatok hordozhatóságához való jog gyakorlása során az érintett jogosult arra, hogy – ha ez technikailag megvalósítható – kérje a személyes adatok adatkezelők közötti közvetlen továbbítását.</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Az adatok hordozhatóságához való jog gyakorlása nem sértheti a törléshez való jogot. Az adathordozás joga nem alkalmazandó abban az esetben, ha az adatkezelés közérdekű vagy az adatkezelőre ruházott közhatalmi jogosítványai gyakorlásának keretében végzett feladat végrehajtásához szükséges.</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Az adatok hordozhatóságához való jog nem érintheti hátrányosan mások jogait és szabadságait.</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8.7. Visszavonáshoz való jog</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 xml:space="preserve">Az érintett jogosult arra, hogy hozzájárulását bármikor visszavonja. A hozzájárulás visszavonása nem érinti a hozzájáruláson alapuló, a visszavonás előtti adatkezelés jogszerűségét. </w:t>
      </w:r>
    </w:p>
    <w:p>
      <w:pPr>
        <w:suppressAutoHyphens w:val="0"/>
        <w:spacing w:after="0" w:line="240" w:lineRule="auto"/>
        <w:jc w:val="both"/>
        <w:rPr>
          <w:rFonts w:ascii="Arial" w:eastAsia="Times New Roman" w:hAnsi="Arial" w:cs="Arial"/>
          <w:b/>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lastRenderedPageBreak/>
        <w:t>9. Az adatfeldolgozók (az adatkezelési műveletekhez kapcsolódó technikai feladatokat végzők) személye</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Az állami foglalkoztatási szerv informatikai rendszerének a működtetője az állami foglalkoztatási szerv, a munkavédelmi és munkaügyi hatóság kijelöléséről, valamint e szervek hatósági és más feladatainak ellátásáról szóló 320/2014. (XII. 13.) Korm. rendelet alapján a Nemzeti Infokommunikációs Szolgáltató Zrt. (a továbbiakban: NISZ Zrt.)</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Címe: 1149 Budapest, Róna utca 52-80.</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Adószáma: 10585560244</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A NISZ Zrt. a személyes adatokat a feladatai ellátáshoz szükséges mértékben ismerheti meg.</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10. Adattovábbítás más szerv vagy személy részére</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Az adatokba az Flt. 57/D. § (3) bekezdése alapján</w:t>
      </w:r>
    </w:p>
    <w:p>
      <w:pPr>
        <w:numPr>
          <w:ilvl w:val="0"/>
          <w:numId w:val="12"/>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 xml:space="preserve">a foglalkoztatáspolitika koordinációjával, a foglalkoztatási és képzési célú programok kidolgozásával, a hazai és nemzetközi források felhasználásával megvalósuló fejlesztési programok kezdeményezésével és megvalósításával összefüggő feladatai ellátása érdekében a foglalkoztatáspolitikáért felelős miniszter, </w:t>
      </w:r>
    </w:p>
    <w:p>
      <w:pPr>
        <w:numPr>
          <w:ilvl w:val="0"/>
          <w:numId w:val="12"/>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 xml:space="preserve">a nemzetközi források felhasználásával megvalósuló fejlesztési programok kezdeményezésével és megvalósításával összefüggő feladatai ellátása érdekében a gyermek- és ifjúságpolitikáért felelős miniszter, valamint az uniós támogatások felhasználásának ellenőrzését végző szerv </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 xml:space="preserve">tekinthet be. </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Az Flt. 57/D. § (4) bekezdése alapján egyéni szintű nyomon követéshez rögzített adatok statisztikai célra felhasználhatók és statisztikai célú felhasználásra – személyazonosításra alkalmatlan módon – átadhatók.</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Az Ön által megadott adatokat az adatfeldolgozásban és adatkezelésben részt vevők bizalmasan kezelik, azokat kizárólag anonimizált módon — név és további azonosítható adatok nélkül — összesítve továbbítják az Irányító Hatóság, a fejlesztéspolitikai adatbázis és információs rendszert kezelő minisztérium és az Európai Bizottság számára.</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11. Az érintett jogorvoslati joga bíróság előtt, felügyeleti hatósághoz címzett panasz</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 xml:space="preserve">Az érintett az általa tapasztalt jogellenes adatkezelés esetén polgári pert kezdeményezhet az Adatkezelő ellen. A per elbírálása a törvényszék hatáskörébe tartozik. A per – az érintett választása szerint – a lakóhelye szerinti törvényszék előtt is megindítható (a törvényszékek felsorolását és elérhetőségét az alábbi linken keresztül tekintheti meg: </w:t>
      </w:r>
      <w:hyperlink r:id="rId31" w:history="1">
        <w:r>
          <w:rPr>
            <w:rFonts w:ascii="Arial" w:eastAsia="Times New Roman" w:hAnsi="Arial" w:cs="Arial"/>
            <w:color w:val="0000FF"/>
            <w:sz w:val="20"/>
            <w:szCs w:val="20"/>
            <w:u w:val="single"/>
            <w:lang w:eastAsia="hu-HU"/>
          </w:rPr>
          <w:t>http://birosag.hu/torvenyszekek</w:t>
        </w:r>
      </w:hyperlink>
      <w:r>
        <w:rPr>
          <w:rFonts w:ascii="Arial" w:eastAsia="Times New Roman" w:hAnsi="Arial" w:cs="Arial"/>
          <w:sz w:val="20"/>
          <w:szCs w:val="20"/>
          <w:lang w:eastAsia="hu-HU"/>
        </w:rPr>
        <w:t xml:space="preserve">). Az egyéb közigazgatási vagy bírósági jogorvoslatok sérelme nélkül, minden érintett jogosult arra, hogy panaszt tegyen egy felügyeleti hatóságnál – különösen a szokásos tartózkodási helye, a munkahelye vagy a feltételezett jogsértés helye szerinti tagállamban –, ha az érintett megítélése szerint a rá vonatkozó személyes adatok kezelése megsérti a GDPR-t. </w:t>
      </w:r>
    </w:p>
    <w:p>
      <w:pPr>
        <w:spacing w:after="0"/>
        <w:jc w:val="both"/>
      </w:pPr>
      <w:r>
        <w:rPr>
          <w:rFonts w:ascii="Arial" w:eastAsia="Times New Roman" w:hAnsi="Arial" w:cs="Arial"/>
          <w:sz w:val="20"/>
          <w:szCs w:val="20"/>
          <w:lang w:eastAsia="hu-HU"/>
        </w:rPr>
        <w:t xml:space="preserve">Nemzeti Adatvédelmi és Információszabadság Hatóság (NAIH) elérhetőségei megtalálhatóak az alábbi elérési útvonalon: </w:t>
      </w:r>
      <w:hyperlink r:id="rId32" w:history="1">
        <w:r>
          <w:rPr>
            <w:rFonts w:ascii="Arial" w:eastAsia="Times New Roman" w:hAnsi="Arial" w:cs="Arial"/>
            <w:color w:val="0000FF"/>
            <w:sz w:val="20"/>
            <w:szCs w:val="20"/>
            <w:u w:val="single"/>
            <w:lang w:eastAsia="hu-HU"/>
          </w:rPr>
          <w:t>https://www.naih.hu/ugyfelszolgalat-kapcsolat</w:t>
        </w:r>
      </w:hyperlink>
      <w:bookmarkStart w:id="2" w:name="_GoBack"/>
      <w:bookmarkEnd w:id="2"/>
    </w:p>
    <w:sectPr>
      <w:headerReference w:type="default" r:id="rId33"/>
      <w:headerReference w:type="first" r:id="rId34"/>
      <w:footerReference w:type="first" r:id="rId3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llb"/>
      <w:ind w:left="-567"/>
      <w:jc w:val="center"/>
      <w:rPr>
        <w:rFonts w:ascii="Arial" w:hAnsi="Arial" w:cs="Arial"/>
        <w:color w:val="808080" w:themeColor="background1" w:themeShade="80"/>
        <w:sz w:val="18"/>
        <w:szCs w:val="18"/>
        <w:lang w:eastAsia="hu-HU"/>
      </w:rPr>
    </w:pPr>
    <w:r>
      <w:tab/>
    </w:r>
    <w:r>
      <w:rPr>
        <w:rFonts w:ascii="Arial" w:hAnsi="Arial" w:cs="Arial"/>
        <w:color w:val="808080" w:themeColor="background1" w:themeShade="80"/>
        <w:sz w:val="18"/>
        <w:szCs w:val="18"/>
        <w:lang w:eastAsia="hu-HU"/>
      </w:rPr>
      <w:t>Fejér Vármegyei Kormányhivatal Foglalkoztatási, Foglalkoztatás-felügyeleti és Munkavédelmi Főosztály</w:t>
    </w:r>
  </w:p>
  <w:p>
    <w:pPr>
      <w:pStyle w:val="llb"/>
      <w:ind w:left="-567"/>
      <w:jc w:val="center"/>
      <w:rPr>
        <w:rFonts w:ascii="Arial" w:hAnsi="Arial" w:cs="Arial"/>
        <w:color w:val="808080" w:themeColor="background1" w:themeShade="80"/>
        <w:sz w:val="18"/>
        <w:szCs w:val="18"/>
        <w:lang w:eastAsia="hu-HU"/>
      </w:rPr>
    </w:pPr>
    <w:r>
      <w:rPr>
        <w:rFonts w:ascii="Arial" w:hAnsi="Arial" w:cs="Arial"/>
        <w:color w:val="808080" w:themeColor="background1" w:themeShade="80"/>
        <w:sz w:val="18"/>
        <w:szCs w:val="18"/>
        <w:lang w:eastAsia="hu-HU"/>
      </w:rPr>
      <w:t xml:space="preserve">Ügyintézés helye: 8000 Székesfehérvár, Sörház tér 1. Tel.: 22-327-950 E-mail: </w:t>
    </w:r>
    <w:hyperlink r:id="rId1" w:history="1">
      <w:r>
        <w:rPr>
          <w:rStyle w:val="Hiperhivatkozs"/>
          <w:rFonts w:ascii="Arial" w:hAnsi="Arial" w:cs="Arial"/>
          <w:sz w:val="18"/>
          <w:szCs w:val="18"/>
          <w:lang w:eastAsia="hu-HU"/>
        </w:rPr>
        <w:t>foglalkoztatas@fejer.gov.hu</w:t>
      </w:r>
    </w:hyperlink>
  </w:p>
  <w:p>
    <w:pPr>
      <w:pStyle w:val="llb"/>
      <w:ind w:left="-567"/>
      <w:jc w:val="center"/>
      <w:rPr>
        <w:color w:val="808080" w:themeColor="background1" w:themeShade="80"/>
        <w:sz w:val="18"/>
        <w:szCs w:val="18"/>
        <w:lang w:eastAsia="hu-HU"/>
      </w:rPr>
    </w:pPr>
    <w:r>
      <w:rPr>
        <w:rFonts w:ascii="Arial" w:hAnsi="Arial" w:cs="Arial"/>
        <w:color w:val="808080" w:themeColor="background1" w:themeShade="80"/>
        <w:sz w:val="18"/>
        <w:szCs w:val="18"/>
        <w:lang w:eastAsia="hu-HU"/>
      </w:rPr>
      <w:t>Ügyfélfogadás: hétfő; szerda; csütörtök: 8:00-14:00; péntek: 8:00-12:00; kedd: nincs félfogadás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Lbjegyzetszveg"/>
      </w:pPr>
      <w:r>
        <w:rPr>
          <w:rStyle w:val="Lbjegyzet-hivatkozs"/>
        </w:rPr>
        <w:footnoteRef/>
      </w:r>
      <w:r>
        <w:t xml:space="preserve"> Az adatkezelési tájékoztató naprakész változata a munka.hu oldalon elérhető</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lfej"/>
      <w:jc w:val="center"/>
      <w:rPr>
        <w:rStyle w:val="Oldalszm"/>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536"/>
        <w:tab w:val="right" w:pos="9072"/>
      </w:tabs>
      <w:ind w:left="126"/>
      <w:jc w:val="center"/>
      <w:rPr>
        <w:rFonts w:ascii="Arial" w:hAnsi="Arial" w:cs="Arial"/>
        <w:i/>
        <w:sz w:val="20"/>
        <w:szCs w:val="20"/>
        <w:highlight w:val="lightGray"/>
      </w:rPr>
    </w:pPr>
    <w:r>
      <w:rPr>
        <w:noProof/>
        <w:lang w:eastAsia="hu-HU"/>
      </w:rPr>
      <w:drawing>
        <wp:anchor distT="0" distB="0" distL="114300" distR="114300" simplePos="0" relativeHeight="251659264" behindDoc="0" locked="0" layoutInCell="1" allowOverlap="1">
          <wp:simplePos x="0" y="0"/>
          <wp:positionH relativeFrom="column">
            <wp:posOffset>-790575</wp:posOffset>
          </wp:positionH>
          <wp:positionV relativeFrom="paragraph">
            <wp:posOffset>-343535</wp:posOffset>
          </wp:positionV>
          <wp:extent cx="3209925" cy="979170"/>
          <wp:effectExtent l="0" t="0" r="0" b="0"/>
          <wp:wrapNone/>
          <wp:docPr id="5" name="Kép 5" descr="\\gvvrcommon09\gvvrcommon09\LUN12\ME_PAT\01_2013_MAPPASTRUKTÚRA\00_Projektek 2020\01_Szervezés\Lounge\2021.07.16 SZTP logó és sablonok módosítás\Módosított anyag\végleges\Logó V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vrcommon09\gvvrcommon09\LUN12\ME_PAT\01_2013_MAPPASTRUKTÚRA\00_Projektek 2020\01_Szervezés\Lounge\2021.07.16 SZTP logó és sablonok módosítás\Módosított anyag\végleges\Logó V2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9925" cy="979170"/>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jc w:val="right"/>
    </w:pPr>
    <w:r>
      <w:rPr>
        <w:noProof/>
        <w:lang w:eastAsia="hu-HU"/>
      </w:rPr>
      <w:drawing>
        <wp:anchor distT="0" distB="0" distL="114300" distR="114300" simplePos="0" relativeHeight="251661312" behindDoc="0" locked="0" layoutInCell="1" allowOverlap="1">
          <wp:simplePos x="0" y="0"/>
          <wp:positionH relativeFrom="margin">
            <wp:align>center</wp:align>
          </wp:positionH>
          <wp:positionV relativeFrom="margin">
            <wp:posOffset>-927735</wp:posOffset>
          </wp:positionV>
          <wp:extent cx="219075" cy="429260"/>
          <wp:effectExtent l="0" t="0" r="0" b="0"/>
          <wp:wrapSquare wrapText="bothSides"/>
          <wp:docPr id="20" name="Kép 1" descr="Képtalálat a következőre: „magyar 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éptalálat a következőre: „magyar címer”"/>
                  <pic:cNvPicPr>
                    <a:picLocks noChangeAspect="1" noChangeArrowheads="1"/>
                  </pic:cNvPicPr>
                </pic:nvPicPr>
                <pic:blipFill>
                  <a:blip r:embed="rId2" cstate="print"/>
                  <a:srcRect/>
                  <a:stretch>
                    <a:fillRect/>
                  </a:stretch>
                </pic:blipFill>
                <pic:spPr bwMode="auto">
                  <a:xfrm>
                    <a:off x="0" y="0"/>
                    <a:ext cx="219075" cy="429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rPr>
        <w:rFonts w:ascii="Book Antiqua" w:hAnsi="Book Antiqua"/>
        <w:sz w:val="22"/>
        <w:szCs w:val="22"/>
      </w:rPr>
    </w:pPr>
  </w:p>
  <w:p>
    <w:pPr>
      <w:pStyle w:val="lfej"/>
      <w:jc w:val="center"/>
      <w:rPr>
        <w:smallCaps/>
        <w:sz w:val="20"/>
        <w:szCs w:val="20"/>
      </w:rPr>
    </w:pPr>
    <w:r>
      <w:rPr>
        <w:smallCaps/>
        <w:sz w:val="20"/>
        <w:szCs w:val="20"/>
      </w:rPr>
      <w:t>Fejér Vármegyei Kormányhivatal</w:t>
    </w:r>
  </w:p>
  <w:p>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2418B"/>
    <w:multiLevelType w:val="multilevel"/>
    <w:tmpl w:val="660A2BFE"/>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1">
    <w:nsid w:val="04AF6901"/>
    <w:multiLevelType w:val="hybridMultilevel"/>
    <w:tmpl w:val="FF947032"/>
    <w:lvl w:ilvl="0" w:tplc="43881FA2">
      <w:start w:val="3"/>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A782A98"/>
    <w:multiLevelType w:val="multilevel"/>
    <w:tmpl w:val="98743EB2"/>
    <w:lvl w:ilvl="0">
      <w:start w:val="1"/>
      <w:numFmt w:val="upperRoman"/>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nsid w:val="1C9D5B77"/>
    <w:multiLevelType w:val="multilevel"/>
    <w:tmpl w:val="7D442E0E"/>
    <w:lvl w:ilvl="0">
      <w:start w:val="1"/>
      <w:numFmt w:val="decimal"/>
      <w:lvlText w:val="%1."/>
      <w:lvlJc w:val="left"/>
      <w:pPr>
        <w:tabs>
          <w:tab w:val="num" w:pos="0"/>
        </w:tabs>
        <w:ind w:left="720" w:hanging="360"/>
      </w:pPr>
      <w:rPr>
        <w:rFonts w:cs="Times New Roman"/>
        <w:b w:val="0"/>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4">
    <w:nsid w:val="261935DD"/>
    <w:multiLevelType w:val="multilevel"/>
    <w:tmpl w:val="31F03C58"/>
    <w:lvl w:ilvl="0">
      <w:start w:val="1"/>
      <w:numFmt w:val="lowerLetter"/>
      <w:lvlText w:val="%1)"/>
      <w:lvlJc w:val="left"/>
      <w:pPr>
        <w:tabs>
          <w:tab w:val="num" w:pos="0"/>
        </w:tabs>
        <w:ind w:left="1770" w:hanging="360"/>
      </w:pPr>
      <w:rPr>
        <w:rFonts w:cs="Times New Roman"/>
      </w:rPr>
    </w:lvl>
    <w:lvl w:ilvl="1">
      <w:start w:val="1"/>
      <w:numFmt w:val="lowerLetter"/>
      <w:lvlText w:val="%2."/>
      <w:lvlJc w:val="left"/>
      <w:pPr>
        <w:tabs>
          <w:tab w:val="num" w:pos="0"/>
        </w:tabs>
        <w:ind w:left="2490" w:hanging="360"/>
      </w:pPr>
      <w:rPr>
        <w:rFonts w:cs="Times New Roman"/>
      </w:rPr>
    </w:lvl>
    <w:lvl w:ilvl="2">
      <w:start w:val="1"/>
      <w:numFmt w:val="lowerRoman"/>
      <w:lvlText w:val="%3."/>
      <w:lvlJc w:val="right"/>
      <w:pPr>
        <w:tabs>
          <w:tab w:val="num" w:pos="0"/>
        </w:tabs>
        <w:ind w:left="3210" w:hanging="180"/>
      </w:pPr>
      <w:rPr>
        <w:rFonts w:cs="Times New Roman"/>
      </w:rPr>
    </w:lvl>
    <w:lvl w:ilvl="3">
      <w:start w:val="1"/>
      <w:numFmt w:val="decimal"/>
      <w:lvlText w:val="%4."/>
      <w:lvlJc w:val="left"/>
      <w:pPr>
        <w:tabs>
          <w:tab w:val="num" w:pos="0"/>
        </w:tabs>
        <w:ind w:left="3930" w:hanging="360"/>
      </w:pPr>
      <w:rPr>
        <w:rFonts w:cs="Times New Roman"/>
      </w:rPr>
    </w:lvl>
    <w:lvl w:ilvl="4">
      <w:start w:val="1"/>
      <w:numFmt w:val="lowerLetter"/>
      <w:lvlText w:val="%5."/>
      <w:lvlJc w:val="left"/>
      <w:pPr>
        <w:tabs>
          <w:tab w:val="num" w:pos="0"/>
        </w:tabs>
        <w:ind w:left="4650" w:hanging="360"/>
      </w:pPr>
      <w:rPr>
        <w:rFonts w:cs="Times New Roman"/>
      </w:rPr>
    </w:lvl>
    <w:lvl w:ilvl="5">
      <w:start w:val="1"/>
      <w:numFmt w:val="lowerRoman"/>
      <w:lvlText w:val="%6."/>
      <w:lvlJc w:val="right"/>
      <w:pPr>
        <w:tabs>
          <w:tab w:val="num" w:pos="0"/>
        </w:tabs>
        <w:ind w:left="5370" w:hanging="180"/>
      </w:pPr>
      <w:rPr>
        <w:rFonts w:cs="Times New Roman"/>
      </w:rPr>
    </w:lvl>
    <w:lvl w:ilvl="6">
      <w:start w:val="1"/>
      <w:numFmt w:val="decimal"/>
      <w:lvlText w:val="%7."/>
      <w:lvlJc w:val="left"/>
      <w:pPr>
        <w:tabs>
          <w:tab w:val="num" w:pos="0"/>
        </w:tabs>
        <w:ind w:left="6090" w:hanging="360"/>
      </w:pPr>
      <w:rPr>
        <w:rFonts w:cs="Times New Roman"/>
      </w:rPr>
    </w:lvl>
    <w:lvl w:ilvl="7">
      <w:start w:val="1"/>
      <w:numFmt w:val="lowerLetter"/>
      <w:lvlText w:val="%8."/>
      <w:lvlJc w:val="left"/>
      <w:pPr>
        <w:tabs>
          <w:tab w:val="num" w:pos="0"/>
        </w:tabs>
        <w:ind w:left="6810" w:hanging="360"/>
      </w:pPr>
      <w:rPr>
        <w:rFonts w:cs="Times New Roman"/>
      </w:rPr>
    </w:lvl>
    <w:lvl w:ilvl="8">
      <w:start w:val="1"/>
      <w:numFmt w:val="lowerRoman"/>
      <w:lvlText w:val="%9."/>
      <w:lvlJc w:val="right"/>
      <w:pPr>
        <w:tabs>
          <w:tab w:val="num" w:pos="0"/>
        </w:tabs>
        <w:ind w:left="7530" w:hanging="180"/>
      </w:pPr>
      <w:rPr>
        <w:rFonts w:cs="Times New Roman"/>
      </w:rPr>
    </w:lvl>
  </w:abstractNum>
  <w:abstractNum w:abstractNumId="5">
    <w:nsid w:val="31874A8E"/>
    <w:multiLevelType w:val="hybridMultilevel"/>
    <w:tmpl w:val="9A7623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406D544C"/>
    <w:multiLevelType w:val="hybridMultilevel"/>
    <w:tmpl w:val="8000F5BE"/>
    <w:lvl w:ilvl="0" w:tplc="C1DA43E2">
      <w:start w:val="6"/>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49811007"/>
    <w:multiLevelType w:val="hybridMultilevel"/>
    <w:tmpl w:val="B89820D2"/>
    <w:lvl w:ilvl="0" w:tplc="2B9678C6">
      <w:start w:val="6"/>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773A2CE3"/>
    <w:multiLevelType w:val="hybridMultilevel"/>
    <w:tmpl w:val="2236DA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lvlOverride w:ilvl="0">
      <w:startOverride w:val="1"/>
    </w:lvlOverride>
  </w:num>
  <w:num w:numId="2">
    <w:abstractNumId w:val="2"/>
  </w:num>
  <w:num w:numId="3">
    <w:abstractNumId w:val="0"/>
    <w:lvlOverride w:ilvl="0">
      <w:startOverride w:val="1"/>
    </w:lvlOverride>
  </w:num>
  <w:num w:numId="4">
    <w:abstractNumId w:val="0"/>
  </w:num>
  <w:num w:numId="5">
    <w:abstractNumId w:val="3"/>
    <w:lvlOverride w:ilvl="0">
      <w:startOverride w:val="1"/>
    </w:lvlOverride>
  </w:num>
  <w:num w:numId="6">
    <w:abstractNumId w:val="4"/>
    <w:lvlOverride w:ilvl="0">
      <w:startOverride w:val="1"/>
    </w:lvlOverride>
  </w:num>
  <w:num w:numId="7">
    <w:abstractNumId w:val="4"/>
  </w:num>
  <w:num w:numId="8">
    <w:abstractNumId w:val="3"/>
  </w:num>
  <w:num w:numId="9">
    <w:abstractNumId w:val="5"/>
  </w:num>
  <w:num w:numId="10">
    <w:abstractNumId w:val="7"/>
  </w:num>
  <w:num w:numId="11">
    <w:abstractNumId w:val="1"/>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C011082-12F8-4ACF-A268-7960F39E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spacing w:after="200" w:line="27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Pr>
      <w:color w:val="0000FF"/>
      <w:u w:val="single"/>
    </w:rPr>
  </w:style>
  <w:style w:type="character" w:customStyle="1" w:styleId="lfejChar">
    <w:name w:val="Élőfej Char"/>
    <w:basedOn w:val="Bekezdsalapbettpusa"/>
    <w:link w:val="lfej"/>
    <w:uiPriority w:val="99"/>
    <w:qFormat/>
    <w:rPr>
      <w:rFonts w:ascii="Times New Roman" w:eastAsia="Times New Roman" w:hAnsi="Times New Roman" w:cs="Times New Roman"/>
      <w:sz w:val="24"/>
      <w:szCs w:val="24"/>
    </w:rPr>
  </w:style>
  <w:style w:type="character" w:customStyle="1" w:styleId="Lbjegyzet-karakterek">
    <w:name w:val="Lábjegyzet-karakterek"/>
    <w:qFormat/>
    <w:rPr>
      <w:vertAlign w:val="superscript"/>
    </w:rPr>
  </w:style>
  <w:style w:type="character" w:styleId="Lbjegyzet-hivatkozs">
    <w:name w:val="footnote reference"/>
    <w:aliases w:val="Footnote symbol,Char11,Footnote number,BVI fnr, BVI fnr,ftref,Footnotes refss,Fussnota,Footnote reference number,Times 10 Point,Exposant 3 Point,EN Footnote Reference,note TESI,Zchn Zchn"/>
    <w:uiPriority w:val="99"/>
    <w:rPr>
      <w:vertAlign w:val="superscript"/>
    </w:rPr>
  </w:style>
  <w:style w:type="character" w:customStyle="1" w:styleId="LbjegyzetszvegChar">
    <w:name w:val="Lábjegyzetszöveg Char"/>
    <w:aliases w:val="Footnote Char,Char1 Char,Schriftart: 9 pt Char,Schriftart: 10 pt Char,Schriftart: 8 pt Char"/>
    <w:basedOn w:val="Bekezdsalapbettpusa"/>
    <w:link w:val="Lbjegyzetszveg"/>
    <w:uiPriority w:val="99"/>
    <w:qFormat/>
    <w:rPr>
      <w:rFonts w:ascii="Arial Narrow" w:eastAsia="Times New Roman" w:hAnsi="Arial Narrow" w:cs="Times New Roman"/>
      <w:sz w:val="20"/>
      <w:szCs w:val="20"/>
    </w:rPr>
  </w:style>
  <w:style w:type="character" w:customStyle="1" w:styleId="llbChar">
    <w:name w:val="Élőláb Char"/>
    <w:basedOn w:val="Bekezdsalapbettpusa"/>
    <w:link w:val="llb"/>
    <w:uiPriority w:val="99"/>
    <w:qFormat/>
    <w:rPr>
      <w:rFonts w:ascii="Times New Roman" w:eastAsia="Times New Roman" w:hAnsi="Times New Roman" w:cs="Times New Roman"/>
      <w:sz w:val="24"/>
      <w:szCs w:val="24"/>
    </w:rPr>
  </w:style>
  <w:style w:type="character" w:styleId="Oldalszm">
    <w:name w:val="page number"/>
    <w:basedOn w:val="Bekezdsalapbettpusa"/>
    <w:qFormat/>
  </w:style>
  <w:style w:type="paragraph" w:styleId="lfej">
    <w:name w:val="header"/>
    <w:basedOn w:val="Norml"/>
    <w:link w:val="lfejChar"/>
    <w:uiPriority w:val="99"/>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lfejChar1">
    <w:name w:val="Élőfej Char1"/>
    <w:basedOn w:val="Bekezdsalapbettpusa"/>
    <w:uiPriority w:val="99"/>
    <w:semiHidden/>
  </w:style>
  <w:style w:type="paragraph" w:styleId="Lbjegyzetszveg">
    <w:name w:val="footnote text"/>
    <w:aliases w:val="Footnote,Char1,Schriftart: 9 pt,Schriftart: 10 pt,Schriftart: 8 pt"/>
    <w:basedOn w:val="Norml"/>
    <w:link w:val="LbjegyzetszvegChar"/>
    <w:uiPriority w:val="99"/>
    <w:pPr>
      <w:spacing w:after="0" w:line="240" w:lineRule="auto"/>
    </w:pPr>
    <w:rPr>
      <w:rFonts w:ascii="Arial Narrow" w:eastAsia="Times New Roman" w:hAnsi="Arial Narrow" w:cs="Times New Roman"/>
      <w:sz w:val="20"/>
      <w:szCs w:val="20"/>
    </w:rPr>
  </w:style>
  <w:style w:type="character" w:customStyle="1" w:styleId="LbjegyzetszvegChar1">
    <w:name w:val="Lábjegyzetszöveg Char1"/>
    <w:basedOn w:val="Bekezdsalapbettpusa"/>
    <w:uiPriority w:val="99"/>
    <w:semiHidden/>
    <w:rPr>
      <w:sz w:val="20"/>
      <w:szCs w:val="20"/>
    </w:rPr>
  </w:style>
  <w:style w:type="paragraph" w:styleId="llb">
    <w:name w:val="footer"/>
    <w:basedOn w:val="Norml"/>
    <w:link w:val="llbChar"/>
    <w:uiPriority w:val="99"/>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llbChar1">
    <w:name w:val="Élőláb Char1"/>
    <w:basedOn w:val="Bekezdsalapbettpusa"/>
    <w:uiPriority w:val="99"/>
    <w:semiHidden/>
  </w:style>
  <w:style w:type="paragraph" w:styleId="Jegyzetszveg">
    <w:name w:val="annotation text"/>
    <w:basedOn w:val="Norml"/>
    <w:link w:val="JegyzetszvegChar"/>
    <w:pPr>
      <w:suppressAutoHyphens w:val="0"/>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Pr>
      <w:rFonts w:ascii="Times New Roman" w:eastAsia="Times New Roman" w:hAnsi="Times New Roman" w:cs="Times New Roman"/>
      <w:sz w:val="20"/>
      <w:szCs w:val="20"/>
      <w:lang w:eastAsia="hu-HU"/>
    </w:rPr>
  </w:style>
  <w:style w:type="character" w:styleId="Kiemels2">
    <w:name w:val="Strong"/>
    <w:basedOn w:val="Bekezdsalapbettpusa"/>
    <w:uiPriority w:val="22"/>
    <w:qFormat/>
    <w:rPr>
      <w:b/>
      <w:bCs/>
    </w:rPr>
  </w:style>
  <w:style w:type="paragraph" w:customStyle="1" w:styleId="Default">
    <w:name w:val="Default"/>
    <w:qFormat/>
    <w:pPr>
      <w:suppressAutoHyphens/>
      <w:spacing w:beforeAutospacing="1" w:after="0" w:afterAutospacing="1" w:line="240" w:lineRule="auto"/>
      <w:jc w:val="both"/>
    </w:pPr>
    <w:rPr>
      <w:rFonts w:ascii="Palatino Linotype" w:eastAsia="Times New Roman" w:hAnsi="Palatino Linotype" w:cs="Palatino Linotype"/>
      <w:color w:val="000000"/>
      <w:sz w:val="24"/>
      <w:szCs w:val="24"/>
      <w:lang w:eastAsia="hu-HU"/>
    </w:rPr>
  </w:style>
  <w:style w:type="table" w:customStyle="1" w:styleId="Rcsostblzat2">
    <w:name w:val="Rácsos táblázat2"/>
    <w:basedOn w:val="Normltblzat"/>
    <w:next w:val="Rcsostblzat"/>
    <w:uiPriority w:val="59"/>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Rcsostblzat">
    <w:name w:val="Table Grid"/>
    <w:basedOn w:val="Normltblzat"/>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on.sulai@ngm.gov.hu" TargetMode="External"/><Relationship Id="rId13" Type="http://schemas.openxmlformats.org/officeDocument/2006/relationships/hyperlink" Target="mailto:gemes.nikolett@bekes.gov.hu" TargetMode="External"/><Relationship Id="rId18" Type="http://schemas.openxmlformats.org/officeDocument/2006/relationships/hyperlink" Target="mailto:hivatal@hajdu.gov.hu" TargetMode="External"/><Relationship Id="rId26" Type="http://schemas.openxmlformats.org/officeDocument/2006/relationships/hyperlink" Target="mailto:hivatal@vas.gov.hu" TargetMode="External"/><Relationship Id="rId3" Type="http://schemas.openxmlformats.org/officeDocument/2006/relationships/styles" Target="styles.xml"/><Relationship Id="rId21" Type="http://schemas.openxmlformats.org/officeDocument/2006/relationships/hyperlink" Target="mailto:hivatal@komarom.gov.hu"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jakab.reka@baranya.gov.hu" TargetMode="External"/><Relationship Id="rId17" Type="http://schemas.openxmlformats.org/officeDocument/2006/relationships/hyperlink" Target="mailto:fatrai.lilla@gyor.gov.hu" TargetMode="External"/><Relationship Id="rId25" Type="http://schemas.openxmlformats.org/officeDocument/2006/relationships/hyperlink" Target="mailto:horvath.monika@tolna.gov.hu"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almaine.takacs.rita@fejer.gov.hu" TargetMode="External"/><Relationship Id="rId20" Type="http://schemas.openxmlformats.org/officeDocument/2006/relationships/hyperlink" Target="mailto:adatvedelem@jasz.gov.hu" TargetMode="External"/><Relationship Id="rId29" Type="http://schemas.openxmlformats.org/officeDocument/2006/relationships/hyperlink" Target="https://nfsz.munka.hu/tart/kapcsolat/osztal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atvedelem@bacs.gov.hu" TargetMode="External"/><Relationship Id="rId24" Type="http://schemas.openxmlformats.org/officeDocument/2006/relationships/hyperlink" Target="mailto:adatvedelem@szabolcs.gov.hu" TargetMode="External"/><Relationship Id="rId32" Type="http://schemas.openxmlformats.org/officeDocument/2006/relationships/hyperlink" Target="https://www.naih.hu/ugyfelszolgalat-kapcsolat"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zentpeteri.szilvia@csongrad.gov.hu" TargetMode="External"/><Relationship Id="rId23" Type="http://schemas.openxmlformats.org/officeDocument/2006/relationships/hyperlink" Target="mailto:adatvedelem@somogy.gov.hu" TargetMode="External"/><Relationship Id="rId28" Type="http://schemas.openxmlformats.org/officeDocument/2006/relationships/hyperlink" Target="mailto:kosa.kitti.eszter@zala.gov.hu" TargetMode="External"/><Relationship Id="rId36" Type="http://schemas.openxmlformats.org/officeDocument/2006/relationships/fontTable" Target="fontTable.xml"/><Relationship Id="rId10" Type="http://schemas.openxmlformats.org/officeDocument/2006/relationships/hyperlink" Target="mailto:adatvedelem@pest.gov.hu" TargetMode="External"/><Relationship Id="rId19" Type="http://schemas.openxmlformats.org/officeDocument/2006/relationships/hyperlink" Target="mailto:kozma.katalin.eszter@heves.gov.hu" TargetMode="External"/><Relationship Id="rId31" Type="http://schemas.openxmlformats.org/officeDocument/2006/relationships/hyperlink" Target="http://birosag.hu/torvenyszekek" TargetMode="External"/><Relationship Id="rId4" Type="http://schemas.openxmlformats.org/officeDocument/2006/relationships/settings" Target="settings.xml"/><Relationship Id="rId9" Type="http://schemas.openxmlformats.org/officeDocument/2006/relationships/hyperlink" Target="mailto:adatvedelem@bfkh.gov.hu" TargetMode="External"/><Relationship Id="rId14" Type="http://schemas.openxmlformats.org/officeDocument/2006/relationships/hyperlink" Target="mailto:madacsi.imre@borsod.gov.hu" TargetMode="External"/><Relationship Id="rId22" Type="http://schemas.openxmlformats.org/officeDocument/2006/relationships/hyperlink" Target="mailto:adatvedelem@nograd.gov.hu" TargetMode="External"/><Relationship Id="rId27" Type="http://schemas.openxmlformats.org/officeDocument/2006/relationships/hyperlink" Target="mailto:arpasy.tamas@veszprem.gov.hu" TargetMode="External"/><Relationship Id="rId30" Type="http://schemas.openxmlformats.org/officeDocument/2006/relationships/hyperlink" Target="https://nfsz.munka.hu/tart/szervezetunk" TargetMode="External"/><Relationship Id="rId35"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foglalkoztatas@fejer.gov.hu"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2857C-A02B-4DEA-B0BE-C016210FE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2579</Words>
  <Characters>17800</Characters>
  <Application>Microsoft Office Word</Application>
  <DocSecurity>0</DocSecurity>
  <Lines>148</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dc:creator>
  <cp:keywords/>
  <dc:description/>
  <cp:lastModifiedBy>TMKH</cp:lastModifiedBy>
  <cp:revision>3</cp:revision>
  <dcterms:created xsi:type="dcterms:W3CDTF">2025-07-29T06:24:00Z</dcterms:created>
  <dcterms:modified xsi:type="dcterms:W3CDTF">2025-07-29T06:25:00Z</dcterms:modified>
</cp:coreProperties>
</file>